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page" w:tblpXSpec="center" w:tblpYSpec="center"/>
        <w:tblW w:w="5000" w:type="pct"/>
        <w:tblLook w:val="01E0" w:firstRow="1" w:lastRow="1" w:firstColumn="1" w:lastColumn="1" w:noHBand="0" w:noVBand="0"/>
      </w:tblPr>
      <w:tblGrid>
        <w:gridCol w:w="9638"/>
      </w:tblGrid>
      <w:tr w:rsidR="002D5988" w:rsidRPr="00914911" w:rsidTr="002D5988">
        <w:tc>
          <w:tcPr>
            <w:tcW w:w="5000" w:type="pct"/>
          </w:tcPr>
          <w:p w:rsidR="002D5988" w:rsidRDefault="002D5988" w:rsidP="002D5988">
            <w:pPr>
              <w:pStyle w:val="ReportTitle"/>
              <w:spacing w:before="0" w:after="0" w:line="240" w:lineRule="auto"/>
              <w:jc w:val="center"/>
            </w:pPr>
            <w:r>
              <w:t xml:space="preserve">Licence Application: </w:t>
            </w:r>
          </w:p>
          <w:p w:rsidR="002D5988" w:rsidRPr="00914911" w:rsidRDefault="00C7046F" w:rsidP="002D5988">
            <w:pPr>
              <w:pStyle w:val="ReportTitle"/>
              <w:spacing w:before="0" w:after="0" w:line="240" w:lineRule="auto"/>
              <w:jc w:val="center"/>
            </w:pPr>
            <w:r w:rsidRPr="006D68AA">
              <w:rPr>
                <w:sz w:val="40"/>
                <w:szCs w:val="40"/>
              </w:rPr>
              <w:t>Clinical Governance Requirements</w:t>
            </w:r>
          </w:p>
        </w:tc>
      </w:tr>
    </w:tbl>
    <w:p w:rsidR="009F0000" w:rsidRDefault="009F0000" w:rsidP="00A47B11">
      <w:pPr>
        <w:pStyle w:val="Heading3"/>
        <w:jc w:val="both"/>
      </w:pPr>
      <w:r>
        <w:br w:type="page"/>
      </w:r>
      <w:bookmarkStart w:id="0" w:name="_GoBack"/>
      <w:bookmarkEnd w:id="0"/>
    </w:p>
    <w:p w:rsidR="00C7046F" w:rsidRDefault="00C7046F" w:rsidP="00C7046F">
      <w:pPr>
        <w:pStyle w:val="Heading1"/>
      </w:pPr>
      <w:r>
        <w:lastRenderedPageBreak/>
        <w:t>Licence Application:</w:t>
      </w:r>
      <w:r>
        <w:br/>
      </w:r>
      <w:r>
        <w:t>Clinical Governance Requirements</w:t>
      </w:r>
    </w:p>
    <w:p w:rsidR="00C7046F" w:rsidRDefault="00C7046F" w:rsidP="00C7046F">
      <w:pPr>
        <w:pStyle w:val="Heading2"/>
      </w:pPr>
      <w:r w:rsidRPr="00C7046F">
        <w:t>Executive Summary</w:t>
      </w:r>
    </w:p>
    <w:p w:rsidR="00C7046F" w:rsidRDefault="00C7046F" w:rsidP="00C7046F">
      <w:r>
        <w:t xml:space="preserve">The object of licensing is to ensure the quality and safety of services delivered by private health service establishments through specifying the standards to be met by licence holders, and to ensure that services are provided to effectively meet the needs of Tasmanians in accordance with clinical practice guidelines and best practice standards. </w:t>
      </w:r>
    </w:p>
    <w:p w:rsidR="00C7046F" w:rsidRDefault="00C7046F" w:rsidP="00C7046F">
      <w:r>
        <w:t xml:space="preserve">All health service establishments requiring licensing under the </w:t>
      </w:r>
      <w:r w:rsidRPr="00C7046F">
        <w:rPr>
          <w:i/>
        </w:rPr>
        <w:t>Health Service Establishments Act 2006</w:t>
      </w:r>
      <w:r>
        <w:t xml:space="preserve"> (the Act) are to comply with the statutory requirements specified in the </w:t>
      </w:r>
      <w:r w:rsidRPr="00C7046F">
        <w:rPr>
          <w:i/>
        </w:rPr>
        <w:t>Health Service Establishments Regulations 2011</w:t>
      </w:r>
      <w:r>
        <w:t xml:space="preserve"> </w:t>
      </w:r>
      <w:r>
        <w:t xml:space="preserve">(the Regulations).  </w:t>
      </w:r>
    </w:p>
    <w:p w:rsidR="00A47B11" w:rsidRDefault="00C7046F" w:rsidP="00C7046F">
      <w:r>
        <w:t>For clinical governance this specifically includes:</w:t>
      </w:r>
    </w:p>
    <w:tbl>
      <w:tblPr>
        <w:tblStyle w:val="TableGrid"/>
        <w:tblW w:w="5000" w:type="pct"/>
        <w:tblLook w:val="04A0" w:firstRow="1" w:lastRow="0" w:firstColumn="1" w:lastColumn="0" w:noHBand="0" w:noVBand="1"/>
        <w:tblCaption w:val="For clinical governance this specifically includes:"/>
        <w:tblDescription w:val="For clinical governance this specifically includes:"/>
      </w:tblPr>
      <w:tblGrid>
        <w:gridCol w:w="2222"/>
        <w:gridCol w:w="7406"/>
      </w:tblGrid>
      <w:tr w:rsidR="00C7046F" w:rsidRPr="00C7046F" w:rsidTr="00C7046F">
        <w:tc>
          <w:tcPr>
            <w:tcW w:w="1154" w:type="pct"/>
          </w:tcPr>
          <w:p w:rsidR="00C7046F" w:rsidRPr="00C7046F" w:rsidRDefault="00C7046F" w:rsidP="00C7046F">
            <w:pPr>
              <w:spacing w:before="120" w:after="120" w:line="240" w:lineRule="auto"/>
              <w:rPr>
                <w:rFonts w:eastAsia="Times New Roman" w:cs="Times New Roman"/>
              </w:rPr>
            </w:pPr>
            <w:r w:rsidRPr="00C7046F">
              <w:rPr>
                <w:rFonts w:eastAsia="Times New Roman" w:cs="Times New Roman"/>
              </w:rPr>
              <w:t>HSE Regs, Schedule 1, Part 2 (4)</w:t>
            </w:r>
          </w:p>
        </w:tc>
        <w:tc>
          <w:tcPr>
            <w:tcW w:w="3846" w:type="pct"/>
          </w:tcPr>
          <w:p w:rsidR="00C7046F" w:rsidRPr="00C7046F" w:rsidRDefault="00C7046F" w:rsidP="00C7046F">
            <w:pPr>
              <w:tabs>
                <w:tab w:val="clear" w:pos="567"/>
                <w:tab w:val="left" w:pos="33"/>
              </w:tabs>
              <w:spacing w:before="120" w:after="120" w:line="240" w:lineRule="auto"/>
              <w:ind w:left="33"/>
              <w:rPr>
                <w:rFonts w:eastAsia="Times New Roman" w:cs="Times New Roman"/>
                <w:i/>
              </w:rPr>
            </w:pPr>
            <w:r w:rsidRPr="00C7046F">
              <w:rPr>
                <w:rFonts w:eastAsia="Times New Roman" w:cs="Times New Roman"/>
                <w:i/>
              </w:rPr>
              <w:t>The licensee of a private hospital or day procedure centre is responsible for the safety of patients at the facility and the clinical governance of the facility.</w:t>
            </w:r>
          </w:p>
        </w:tc>
      </w:tr>
      <w:tr w:rsidR="00C7046F" w:rsidRPr="00C7046F" w:rsidTr="00C7046F">
        <w:tc>
          <w:tcPr>
            <w:tcW w:w="1154" w:type="pct"/>
          </w:tcPr>
          <w:p w:rsidR="00C7046F" w:rsidRPr="00C7046F" w:rsidRDefault="00C7046F" w:rsidP="00C7046F">
            <w:pPr>
              <w:spacing w:before="120" w:after="120" w:line="240" w:lineRule="auto"/>
              <w:rPr>
                <w:rFonts w:eastAsia="Times New Roman" w:cs="Times New Roman"/>
              </w:rPr>
            </w:pPr>
            <w:r w:rsidRPr="00C7046F">
              <w:rPr>
                <w:rFonts w:eastAsia="Times New Roman" w:cs="Times New Roman"/>
              </w:rPr>
              <w:t>HSE Regs, Schedule 1, Part 2 (8)</w:t>
            </w:r>
          </w:p>
        </w:tc>
        <w:tc>
          <w:tcPr>
            <w:tcW w:w="3846" w:type="pct"/>
          </w:tcPr>
          <w:p w:rsidR="00C7046F" w:rsidRPr="00C7046F" w:rsidRDefault="00C7046F" w:rsidP="00C7046F">
            <w:pPr>
              <w:spacing w:before="120" w:after="120" w:line="240" w:lineRule="auto"/>
              <w:ind w:left="33"/>
              <w:rPr>
                <w:rFonts w:eastAsia="Times New Roman" w:cs="Times New Roman"/>
                <w:i/>
              </w:rPr>
            </w:pPr>
            <w:r w:rsidRPr="00C7046F">
              <w:rPr>
                <w:rFonts w:eastAsia="Times New Roman" w:cs="Times New Roman"/>
                <w:i/>
              </w:rPr>
              <w:t xml:space="preserve">(1) A private hospital or day-procedure centre must have safety and quality arrangements in place that meet the requirements of the National Safety and Quality Healthcare Standard on </w:t>
            </w:r>
            <w:r w:rsidRPr="00C7046F">
              <w:rPr>
                <w:rFonts w:eastAsia="Times New Roman" w:cs="Times New Roman"/>
                <w:i/>
                <w:u w:val="single"/>
              </w:rPr>
              <w:t>Governance for Safety and Quality in Health Service Organisations</w:t>
            </w:r>
            <w:r w:rsidRPr="00C7046F">
              <w:rPr>
                <w:rFonts w:eastAsia="Times New Roman" w:cs="Times New Roman"/>
                <w:i/>
              </w:rPr>
              <w:t xml:space="preserve"> as published by the Australian Council on Safety and Quality in Healthcare.  </w:t>
            </w:r>
          </w:p>
          <w:p w:rsidR="00C7046F" w:rsidRPr="00C7046F" w:rsidRDefault="00C7046F" w:rsidP="00C7046F">
            <w:pPr>
              <w:spacing w:before="120" w:after="120" w:line="240" w:lineRule="auto"/>
              <w:ind w:left="33"/>
              <w:rPr>
                <w:rFonts w:eastAsia="Times New Roman" w:cs="Times New Roman"/>
                <w:i/>
              </w:rPr>
            </w:pPr>
            <w:r w:rsidRPr="00C7046F">
              <w:rPr>
                <w:rFonts w:eastAsia="Times New Roman" w:cs="Times New Roman"/>
                <w:i/>
              </w:rPr>
              <w:t>(2) In the absence of a national standard a private hospital or day-procedure centre must have safety and quality arrangements approved by the Secretary.</w:t>
            </w:r>
          </w:p>
          <w:p w:rsidR="00C7046F" w:rsidRPr="00C7046F" w:rsidRDefault="00C7046F" w:rsidP="00C7046F">
            <w:pPr>
              <w:spacing w:before="120" w:after="120" w:line="240" w:lineRule="auto"/>
              <w:ind w:left="33"/>
              <w:rPr>
                <w:rFonts w:eastAsia="Times New Roman" w:cs="Times New Roman"/>
                <w:i/>
              </w:rPr>
            </w:pPr>
            <w:r w:rsidRPr="00C7046F">
              <w:rPr>
                <w:rFonts w:eastAsia="Times New Roman" w:cs="Times New Roman"/>
                <w:i/>
              </w:rPr>
              <w:t xml:space="preserve">(3) These arrangements must, at a minimum, address safety and quality arrangements and their governance, clinical practice, credentialing and incident management. </w:t>
            </w:r>
          </w:p>
        </w:tc>
      </w:tr>
      <w:tr w:rsidR="00C7046F" w:rsidRPr="00C7046F" w:rsidTr="00C7046F">
        <w:tc>
          <w:tcPr>
            <w:tcW w:w="1154" w:type="pct"/>
          </w:tcPr>
          <w:p w:rsidR="00C7046F" w:rsidRPr="00C7046F" w:rsidRDefault="00C7046F" w:rsidP="00C7046F">
            <w:pPr>
              <w:spacing w:before="120" w:after="120" w:line="240" w:lineRule="auto"/>
              <w:rPr>
                <w:rFonts w:eastAsia="Times New Roman" w:cs="Times New Roman"/>
              </w:rPr>
            </w:pPr>
            <w:r w:rsidRPr="00C7046F">
              <w:rPr>
                <w:rFonts w:eastAsia="Times New Roman" w:cs="Times New Roman"/>
              </w:rPr>
              <w:t>HSE Regs, Schedule 1, Part 2 (3)</w:t>
            </w:r>
          </w:p>
        </w:tc>
        <w:tc>
          <w:tcPr>
            <w:tcW w:w="3846" w:type="pct"/>
          </w:tcPr>
          <w:p w:rsidR="00C7046F" w:rsidRPr="00C7046F" w:rsidRDefault="00C7046F" w:rsidP="00C7046F">
            <w:pPr>
              <w:spacing w:before="120" w:after="120" w:line="240" w:lineRule="auto"/>
              <w:ind w:left="33"/>
              <w:rPr>
                <w:rFonts w:eastAsia="Times New Roman" w:cs="Times New Roman"/>
                <w:i/>
              </w:rPr>
            </w:pPr>
            <w:r w:rsidRPr="00C7046F">
              <w:rPr>
                <w:rFonts w:eastAsia="Times New Roman" w:cs="Times New Roman"/>
                <w:i/>
              </w:rPr>
              <w:t xml:space="preserve">A licensee of a private hospital or day procedure centre must ensure that the credentials of all medical practitioners, and dentists, of the private hospital or day procedure centre are reviewed and approved in accordance with the </w:t>
            </w:r>
            <w:r w:rsidRPr="00C7046F">
              <w:rPr>
                <w:rFonts w:eastAsia="Times New Roman" w:cs="Times New Roman"/>
                <w:i/>
                <w:u w:val="single"/>
              </w:rPr>
              <w:t>National Standard for Credentialing and Defining the Scope of Clinical Practice</w:t>
            </w:r>
            <w:r w:rsidRPr="00C7046F">
              <w:rPr>
                <w:rFonts w:eastAsia="Times New Roman" w:cs="Times New Roman"/>
                <w:i/>
              </w:rPr>
              <w:t xml:space="preserve"> as published by the Australian Council for Safety and Quality in Health Care.</w:t>
            </w:r>
          </w:p>
        </w:tc>
      </w:tr>
      <w:tr w:rsidR="00C7046F" w:rsidRPr="00C7046F" w:rsidTr="00C7046F">
        <w:tc>
          <w:tcPr>
            <w:tcW w:w="1154" w:type="pct"/>
          </w:tcPr>
          <w:p w:rsidR="00C7046F" w:rsidRPr="00C7046F" w:rsidRDefault="00C7046F" w:rsidP="00C7046F">
            <w:pPr>
              <w:spacing w:before="120" w:after="120" w:line="240" w:lineRule="auto"/>
              <w:rPr>
                <w:rFonts w:eastAsia="Times New Roman" w:cs="Times New Roman"/>
              </w:rPr>
            </w:pPr>
            <w:r w:rsidRPr="00C7046F">
              <w:rPr>
                <w:rFonts w:eastAsia="Times New Roman" w:cs="Times New Roman"/>
              </w:rPr>
              <w:t>HSE Act, Part 5, Clause 39</w:t>
            </w:r>
          </w:p>
        </w:tc>
        <w:tc>
          <w:tcPr>
            <w:tcW w:w="3846" w:type="pct"/>
          </w:tcPr>
          <w:p w:rsidR="00C7046F" w:rsidRPr="00C7046F" w:rsidRDefault="00C7046F" w:rsidP="00C7046F">
            <w:pPr>
              <w:spacing w:before="120" w:after="120" w:line="240" w:lineRule="auto"/>
              <w:ind w:left="33"/>
              <w:rPr>
                <w:rFonts w:eastAsia="Times New Roman" w:cs="Times New Roman"/>
                <w:i/>
              </w:rPr>
            </w:pPr>
            <w:r w:rsidRPr="00C7046F">
              <w:rPr>
                <w:rFonts w:eastAsia="Times New Roman" w:cs="Times New Roman"/>
                <w:i/>
              </w:rPr>
              <w:t xml:space="preserve">The licensee of an establishment to which this section applies must not conduct the establishment unless – </w:t>
            </w:r>
          </w:p>
          <w:p w:rsidR="00C7046F" w:rsidRPr="00C7046F" w:rsidRDefault="00C7046F" w:rsidP="00C7046F">
            <w:pPr>
              <w:spacing w:before="120" w:after="120" w:line="240" w:lineRule="auto"/>
              <w:ind w:left="33"/>
              <w:rPr>
                <w:rFonts w:eastAsia="Times New Roman" w:cs="Times New Roman"/>
                <w:i/>
              </w:rPr>
            </w:pPr>
            <w:r w:rsidRPr="00C7046F">
              <w:rPr>
                <w:rFonts w:eastAsia="Times New Roman" w:cs="Times New Roman"/>
                <w:i/>
              </w:rPr>
              <w:t xml:space="preserve">(a) there is a person who carries out the duties of </w:t>
            </w:r>
            <w:r w:rsidRPr="00C7046F">
              <w:rPr>
                <w:rFonts w:eastAsia="Times New Roman" w:cs="Times New Roman"/>
                <w:i/>
                <w:u w:val="single"/>
              </w:rPr>
              <w:t>director of nursing</w:t>
            </w:r>
            <w:r w:rsidRPr="00C7046F">
              <w:rPr>
                <w:rFonts w:eastAsia="Times New Roman" w:cs="Times New Roman"/>
                <w:i/>
              </w:rPr>
              <w:t xml:space="preserve"> of the establishment and who is responsible for the care of the patients in the establishment as prescribed by the regulations; and </w:t>
            </w:r>
          </w:p>
          <w:p w:rsidR="00C7046F" w:rsidRPr="00C7046F" w:rsidRDefault="00C7046F" w:rsidP="00C7046F">
            <w:pPr>
              <w:spacing w:before="120" w:after="120" w:line="240" w:lineRule="auto"/>
              <w:ind w:left="33"/>
              <w:rPr>
                <w:rFonts w:eastAsia="Times New Roman" w:cs="Times New Roman"/>
                <w:i/>
              </w:rPr>
            </w:pPr>
            <w:r w:rsidRPr="00C7046F">
              <w:rPr>
                <w:rFonts w:eastAsia="Times New Roman" w:cs="Times New Roman"/>
                <w:i/>
              </w:rPr>
              <w:t xml:space="preserve">(b) that person is a registered nurse and has such experience as the Secretary considers necessary for the proper conduct of the establishment. </w:t>
            </w:r>
          </w:p>
        </w:tc>
      </w:tr>
      <w:tr w:rsidR="00C7046F" w:rsidRPr="00C7046F" w:rsidTr="00C7046F">
        <w:tc>
          <w:tcPr>
            <w:tcW w:w="1154" w:type="pct"/>
          </w:tcPr>
          <w:p w:rsidR="00C7046F" w:rsidRPr="00C7046F" w:rsidRDefault="00C7046F" w:rsidP="00C7046F">
            <w:pPr>
              <w:spacing w:before="120" w:after="120" w:line="240" w:lineRule="auto"/>
              <w:rPr>
                <w:rFonts w:eastAsia="Times New Roman" w:cs="Times New Roman"/>
              </w:rPr>
            </w:pPr>
            <w:r w:rsidRPr="00C7046F">
              <w:rPr>
                <w:rFonts w:eastAsia="Times New Roman" w:cs="Times New Roman"/>
              </w:rPr>
              <w:t>HSE Regs, Schedule 1, Part 2, Clauses 4 and 5.</w:t>
            </w:r>
          </w:p>
          <w:p w:rsidR="00C7046F" w:rsidRPr="00C7046F" w:rsidRDefault="00C7046F" w:rsidP="00C7046F">
            <w:pPr>
              <w:spacing w:before="120" w:after="120" w:line="240" w:lineRule="auto"/>
              <w:rPr>
                <w:rFonts w:eastAsia="Times New Roman" w:cs="Times New Roman"/>
              </w:rPr>
            </w:pPr>
            <w:r w:rsidRPr="00C7046F">
              <w:rPr>
                <w:rFonts w:eastAsia="Times New Roman" w:cs="Times New Roman"/>
              </w:rPr>
              <w:t>Schedule 5</w:t>
            </w:r>
          </w:p>
        </w:tc>
        <w:tc>
          <w:tcPr>
            <w:tcW w:w="3846" w:type="pct"/>
          </w:tcPr>
          <w:p w:rsidR="00C7046F" w:rsidRPr="00C7046F" w:rsidRDefault="00C7046F" w:rsidP="00C7046F">
            <w:pPr>
              <w:tabs>
                <w:tab w:val="clear" w:pos="567"/>
                <w:tab w:val="left" w:pos="33"/>
              </w:tabs>
              <w:spacing w:before="120" w:after="120" w:line="240" w:lineRule="auto"/>
              <w:ind w:left="33"/>
              <w:rPr>
                <w:rFonts w:eastAsia="Times New Roman" w:cs="Times New Roman"/>
                <w:i/>
              </w:rPr>
            </w:pPr>
            <w:r w:rsidRPr="00C7046F">
              <w:rPr>
                <w:rFonts w:eastAsia="Times New Roman" w:cs="Times New Roman"/>
                <w:i/>
              </w:rPr>
              <w:t xml:space="preserve">Clauses 4 &amp; 5 provide statutory requirements for establishment of the </w:t>
            </w:r>
            <w:r w:rsidRPr="00C7046F">
              <w:rPr>
                <w:rFonts w:eastAsia="Times New Roman" w:cs="Times New Roman"/>
                <w:i/>
                <w:u w:val="single"/>
              </w:rPr>
              <w:t>Medical Advisory Committee</w:t>
            </w:r>
            <w:r w:rsidRPr="00C7046F">
              <w:rPr>
                <w:rFonts w:eastAsia="Times New Roman" w:cs="Times New Roman"/>
              </w:rPr>
              <w:t xml:space="preserve"> </w:t>
            </w:r>
            <w:r w:rsidRPr="00C7046F">
              <w:rPr>
                <w:rFonts w:eastAsia="Times New Roman" w:cs="Times New Roman"/>
                <w:i/>
              </w:rPr>
              <w:t>and, role and functions.</w:t>
            </w:r>
          </w:p>
          <w:p w:rsidR="00C7046F" w:rsidRPr="00C7046F" w:rsidRDefault="00C7046F" w:rsidP="00C7046F">
            <w:pPr>
              <w:tabs>
                <w:tab w:val="clear" w:pos="567"/>
                <w:tab w:val="left" w:pos="33"/>
              </w:tabs>
              <w:spacing w:before="120" w:after="120" w:line="240" w:lineRule="auto"/>
              <w:ind w:left="33"/>
              <w:rPr>
                <w:rFonts w:eastAsia="Times New Roman" w:cs="Times New Roman"/>
                <w:i/>
              </w:rPr>
            </w:pPr>
            <w:r w:rsidRPr="00C7046F">
              <w:rPr>
                <w:rFonts w:eastAsia="Times New Roman" w:cs="Times New Roman"/>
                <w:i/>
              </w:rPr>
              <w:t>Schedule 5 further outlines requirements for the Medical Advisory Committee regarding membership and procedures.</w:t>
            </w:r>
          </w:p>
        </w:tc>
      </w:tr>
      <w:tr w:rsidR="00C7046F" w:rsidRPr="00C7046F" w:rsidTr="00C7046F">
        <w:tc>
          <w:tcPr>
            <w:tcW w:w="1154" w:type="pct"/>
          </w:tcPr>
          <w:p w:rsidR="00C7046F" w:rsidRPr="00C7046F" w:rsidRDefault="00C7046F" w:rsidP="00C7046F">
            <w:pPr>
              <w:spacing w:before="120" w:after="120" w:line="240" w:lineRule="auto"/>
              <w:rPr>
                <w:rFonts w:eastAsia="Times New Roman" w:cs="Times New Roman"/>
              </w:rPr>
            </w:pPr>
            <w:r w:rsidRPr="00C7046F">
              <w:rPr>
                <w:rFonts w:eastAsia="Times New Roman" w:cs="Times New Roman"/>
              </w:rPr>
              <w:t>HSE Regs, Schedule 1, Part 4, Clauses 10</w:t>
            </w:r>
          </w:p>
        </w:tc>
        <w:tc>
          <w:tcPr>
            <w:tcW w:w="3846" w:type="pct"/>
          </w:tcPr>
          <w:p w:rsidR="00C7046F" w:rsidRPr="00C7046F" w:rsidRDefault="00C7046F" w:rsidP="00C7046F">
            <w:pPr>
              <w:tabs>
                <w:tab w:val="clear" w:pos="567"/>
                <w:tab w:val="left" w:pos="317"/>
              </w:tabs>
              <w:spacing w:before="120" w:after="120" w:line="240" w:lineRule="auto"/>
              <w:ind w:left="459" w:hanging="425"/>
              <w:rPr>
                <w:rFonts w:eastAsia="Times New Roman" w:cs="Times New Roman"/>
                <w:i/>
              </w:rPr>
            </w:pPr>
            <w:r>
              <w:rPr>
                <w:rFonts w:eastAsia="Times New Roman" w:cs="Times New Roman"/>
                <w:i/>
              </w:rPr>
              <w:t>(</w:t>
            </w:r>
            <w:r w:rsidRPr="00C7046F">
              <w:rPr>
                <w:rFonts w:eastAsia="Times New Roman" w:cs="Times New Roman"/>
                <w:i/>
              </w:rPr>
              <w:t>1</w:t>
            </w:r>
            <w:r>
              <w:rPr>
                <w:rFonts w:eastAsia="Times New Roman" w:cs="Times New Roman"/>
                <w:i/>
              </w:rPr>
              <w:t xml:space="preserve">) </w:t>
            </w:r>
            <w:r w:rsidRPr="00C7046F">
              <w:rPr>
                <w:rFonts w:eastAsia="Times New Roman" w:cs="Times New Roman"/>
                <w:i/>
              </w:rPr>
              <w:t xml:space="preserve">(a) any </w:t>
            </w:r>
            <w:r w:rsidRPr="00C7046F">
              <w:rPr>
                <w:rFonts w:eastAsia="Times New Roman" w:cs="Times New Roman"/>
                <w:i/>
                <w:u w:val="single"/>
              </w:rPr>
              <w:t>injury requiring medical attention</w:t>
            </w:r>
            <w:r w:rsidRPr="00C7046F">
              <w:rPr>
                <w:rFonts w:eastAsia="Times New Roman" w:cs="Times New Roman"/>
                <w:i/>
              </w:rPr>
              <w:t xml:space="preserve"> that is sustained by a patient as a result of any accident at a private hospital or day procedure centre</w:t>
            </w:r>
          </w:p>
          <w:p w:rsidR="00C7046F" w:rsidRPr="00C7046F" w:rsidRDefault="00C7046F" w:rsidP="00C7046F">
            <w:pPr>
              <w:tabs>
                <w:tab w:val="clear" w:pos="567"/>
                <w:tab w:val="left" w:pos="317"/>
              </w:tabs>
              <w:spacing w:before="120" w:after="120" w:line="240" w:lineRule="auto"/>
              <w:ind w:left="459" w:hanging="425"/>
              <w:rPr>
                <w:rFonts w:eastAsia="Times New Roman" w:cs="Times New Roman"/>
                <w:i/>
              </w:rPr>
            </w:pPr>
            <w:r w:rsidRPr="00C7046F">
              <w:rPr>
                <w:rFonts w:eastAsia="Times New Roman" w:cs="Times New Roman"/>
                <w:i/>
              </w:rPr>
              <w:t>(b) the transfer of a patient to another hospital as a result of an injury or iatrogenic condition</w:t>
            </w:r>
          </w:p>
          <w:p w:rsidR="00C7046F" w:rsidRPr="00C7046F" w:rsidRDefault="00C7046F" w:rsidP="00C7046F">
            <w:pPr>
              <w:tabs>
                <w:tab w:val="clear" w:pos="567"/>
                <w:tab w:val="left" w:pos="317"/>
              </w:tabs>
              <w:spacing w:before="120" w:after="480" w:line="240" w:lineRule="auto"/>
              <w:ind w:left="459" w:hanging="425"/>
              <w:rPr>
                <w:rFonts w:eastAsia="Times New Roman" w:cs="Times New Roman"/>
                <w:i/>
              </w:rPr>
            </w:pPr>
            <w:r w:rsidRPr="00C7046F">
              <w:rPr>
                <w:rFonts w:eastAsia="Times New Roman" w:cs="Times New Roman"/>
                <w:i/>
              </w:rPr>
              <w:lastRenderedPageBreak/>
              <w:t>(c) the death of any patient at a private hospital or day procedure centre</w:t>
            </w:r>
          </w:p>
          <w:p w:rsidR="00C7046F" w:rsidRPr="00C7046F" w:rsidRDefault="00C7046F" w:rsidP="00C7046F">
            <w:pPr>
              <w:tabs>
                <w:tab w:val="clear" w:pos="567"/>
                <w:tab w:val="left" w:pos="317"/>
              </w:tabs>
              <w:spacing w:before="120" w:after="120" w:line="240" w:lineRule="auto"/>
              <w:ind w:left="459" w:hanging="425"/>
              <w:rPr>
                <w:rFonts w:eastAsia="Times New Roman" w:cs="Times New Roman"/>
                <w:i/>
              </w:rPr>
            </w:pPr>
            <w:r w:rsidRPr="00C7046F">
              <w:rPr>
                <w:rFonts w:eastAsia="Times New Roman" w:cs="Times New Roman"/>
                <w:i/>
              </w:rPr>
              <w:t>(d) an incident classified as a sentinel event by the Australian Commission on Safety and Quality in Healthcare.</w:t>
            </w:r>
          </w:p>
          <w:p w:rsidR="00C7046F" w:rsidRPr="00C7046F" w:rsidRDefault="00C7046F" w:rsidP="00C7046F">
            <w:pPr>
              <w:tabs>
                <w:tab w:val="clear" w:pos="567"/>
                <w:tab w:val="left" w:pos="317"/>
              </w:tabs>
              <w:spacing w:before="120" w:after="120" w:line="240" w:lineRule="auto"/>
              <w:rPr>
                <w:rFonts w:eastAsia="Times New Roman" w:cs="Times New Roman"/>
                <w:i/>
              </w:rPr>
            </w:pPr>
            <w:r w:rsidRPr="00C7046F">
              <w:rPr>
                <w:rFonts w:eastAsia="Times New Roman" w:cs="Times New Roman"/>
                <w:i/>
              </w:rPr>
              <w:t xml:space="preserve">(2) As soon as practicable </w:t>
            </w:r>
            <w:r w:rsidRPr="00C7046F">
              <w:rPr>
                <w:rFonts w:eastAsia="Times New Roman" w:cs="Times New Roman"/>
                <w:i/>
                <w:u w:val="single"/>
              </w:rPr>
              <w:t>after any such incident occurs</w:t>
            </w:r>
            <w:r w:rsidRPr="00C7046F">
              <w:rPr>
                <w:rFonts w:eastAsia="Times New Roman" w:cs="Times New Roman"/>
                <w:i/>
              </w:rPr>
              <w:t xml:space="preserve"> –</w:t>
            </w:r>
          </w:p>
          <w:p w:rsidR="00C7046F" w:rsidRPr="00C7046F" w:rsidRDefault="00C7046F" w:rsidP="00C7046F">
            <w:pPr>
              <w:tabs>
                <w:tab w:val="clear" w:pos="567"/>
                <w:tab w:val="left" w:pos="317"/>
              </w:tabs>
              <w:spacing w:before="120" w:after="120" w:line="240" w:lineRule="auto"/>
              <w:ind w:left="459" w:hanging="425"/>
              <w:rPr>
                <w:rFonts w:eastAsia="Times New Roman" w:cs="Times New Roman"/>
                <w:i/>
              </w:rPr>
            </w:pPr>
            <w:r w:rsidRPr="00C7046F">
              <w:rPr>
                <w:rFonts w:eastAsia="Times New Roman" w:cs="Times New Roman"/>
                <w:i/>
              </w:rPr>
              <w:t>(a) details of the incident must be entered in an approved form ("the incident form") in the patient’s clinical record and must be reported to the director of nursing and to the patient’s medical practitioner and</w:t>
            </w:r>
          </w:p>
          <w:p w:rsidR="00C7046F" w:rsidRPr="00C7046F" w:rsidRDefault="00C7046F" w:rsidP="00C7046F">
            <w:pPr>
              <w:tabs>
                <w:tab w:val="clear" w:pos="567"/>
                <w:tab w:val="left" w:pos="317"/>
              </w:tabs>
              <w:spacing w:before="120" w:after="120" w:line="240" w:lineRule="auto"/>
              <w:ind w:left="459" w:hanging="425"/>
              <w:rPr>
                <w:rFonts w:eastAsia="Times New Roman" w:cs="Times New Roman"/>
                <w:i/>
              </w:rPr>
            </w:pPr>
            <w:r w:rsidRPr="00C7046F">
              <w:rPr>
                <w:rFonts w:eastAsia="Times New Roman" w:cs="Times New Roman"/>
                <w:i/>
              </w:rPr>
              <w:t>(b) the incident must be investigated by the medical advisory committee and the results of the investigation must be entered in the incident form and</w:t>
            </w:r>
          </w:p>
          <w:p w:rsidR="00C7046F" w:rsidRPr="00C7046F" w:rsidRDefault="00C7046F" w:rsidP="00C7046F">
            <w:pPr>
              <w:tabs>
                <w:tab w:val="clear" w:pos="567"/>
                <w:tab w:val="left" w:pos="317"/>
              </w:tabs>
              <w:spacing w:before="120" w:after="120" w:line="240" w:lineRule="auto"/>
              <w:ind w:left="459" w:hanging="425"/>
              <w:rPr>
                <w:rFonts w:eastAsia="Times New Roman" w:cs="Times New Roman"/>
                <w:i/>
              </w:rPr>
            </w:pPr>
            <w:r w:rsidRPr="00C7046F">
              <w:rPr>
                <w:rFonts w:eastAsia="Times New Roman" w:cs="Times New Roman"/>
                <w:i/>
              </w:rPr>
              <w:t>(c) if the patient was transferred to another hospital, details of the transfer must be entered in the incident form and</w:t>
            </w:r>
          </w:p>
          <w:p w:rsidR="00C7046F" w:rsidRPr="00C7046F" w:rsidRDefault="00C7046F" w:rsidP="00C7046F">
            <w:pPr>
              <w:tabs>
                <w:tab w:val="clear" w:pos="567"/>
                <w:tab w:val="left" w:pos="317"/>
              </w:tabs>
              <w:spacing w:before="120" w:after="120" w:line="240" w:lineRule="auto"/>
              <w:ind w:left="459" w:hanging="425"/>
              <w:rPr>
                <w:rFonts w:eastAsia="Times New Roman" w:cs="Times New Roman"/>
                <w:i/>
              </w:rPr>
            </w:pPr>
            <w:r w:rsidRPr="00C7046F">
              <w:rPr>
                <w:rFonts w:eastAsia="Times New Roman" w:cs="Times New Roman"/>
                <w:i/>
              </w:rPr>
              <w:t>(d) if the patient was transferred to another hospital, or the incident was life threatening or fatal –</w:t>
            </w:r>
          </w:p>
          <w:p w:rsidR="00C7046F" w:rsidRPr="00C7046F" w:rsidRDefault="00C7046F" w:rsidP="00C7046F">
            <w:pPr>
              <w:tabs>
                <w:tab w:val="clear" w:pos="567"/>
                <w:tab w:val="left" w:pos="317"/>
              </w:tabs>
              <w:spacing w:before="120" w:after="120" w:line="240" w:lineRule="auto"/>
              <w:ind w:left="459" w:hanging="142"/>
              <w:rPr>
                <w:rFonts w:eastAsia="Times New Roman" w:cs="Times New Roman"/>
                <w:i/>
              </w:rPr>
            </w:pPr>
            <w:r w:rsidRPr="00C7046F">
              <w:rPr>
                <w:rFonts w:eastAsia="Times New Roman" w:cs="Times New Roman"/>
                <w:i/>
              </w:rPr>
              <w:t>(i) the Secretary and the patient’s representative or next of kin must be notified orally of the incident and</w:t>
            </w:r>
          </w:p>
          <w:p w:rsidR="00C7046F" w:rsidRPr="00C7046F" w:rsidRDefault="00C7046F" w:rsidP="00C7046F">
            <w:pPr>
              <w:tabs>
                <w:tab w:val="clear" w:pos="567"/>
                <w:tab w:val="left" w:pos="317"/>
              </w:tabs>
              <w:spacing w:before="120" w:after="120" w:line="240" w:lineRule="auto"/>
              <w:ind w:left="459" w:hanging="425"/>
              <w:rPr>
                <w:rFonts w:eastAsia="Times New Roman" w:cs="Times New Roman"/>
                <w:i/>
              </w:rPr>
            </w:pPr>
            <w:r w:rsidRPr="00C7046F">
              <w:rPr>
                <w:rFonts w:eastAsia="Times New Roman" w:cs="Times New Roman"/>
                <w:i/>
              </w:rPr>
              <w:tab/>
              <w:t>(ii) a copy of the incident form must be forwarded to the Secretary.</w:t>
            </w:r>
          </w:p>
        </w:tc>
      </w:tr>
    </w:tbl>
    <w:p w:rsidR="00C7046F" w:rsidRPr="006D68AA" w:rsidRDefault="00C7046F" w:rsidP="00C7046F">
      <w:r w:rsidRPr="006D68AA">
        <w:lastRenderedPageBreak/>
        <w:t xml:space="preserve">This document provides guidance to ensure appropriate documented evidence regarding the health service’s governance arrangements is provided to support the licensing process.  </w:t>
      </w:r>
    </w:p>
    <w:p w:rsidR="00C7046F" w:rsidRPr="006D68AA" w:rsidRDefault="00C7046F" w:rsidP="00C7046F">
      <w:r w:rsidRPr="006D68AA">
        <w:t>The health service must ensure that the safety and quality requirements underpinning clinical governance are supported with policies, procedures and other applicable documentation.</w:t>
      </w:r>
    </w:p>
    <w:p w:rsidR="00C7046F" w:rsidRPr="006D68AA" w:rsidRDefault="00C7046F" w:rsidP="00C7046F">
      <w:r w:rsidRPr="006D68AA">
        <w:t xml:space="preserve">The policies and procedures will be developed by the applicant, in collaboration with the Regulation Unit, to ensure all they are inclusive of the statutory safety and quality requirements.  </w:t>
      </w:r>
    </w:p>
    <w:p w:rsidR="00C7046F" w:rsidRPr="006D68AA" w:rsidRDefault="00C7046F" w:rsidP="00C7046F">
      <w:r w:rsidRPr="006D68AA">
        <w:t xml:space="preserve">These requirements include infection prevention and control; management and reporting of injuries, transfers, death and other sentinel events; feedback and complaints management; and clinical practice. </w:t>
      </w:r>
    </w:p>
    <w:p w:rsidR="00C7046F" w:rsidRDefault="00C7046F" w:rsidP="00C7046F">
      <w:r w:rsidRPr="006D68AA">
        <w:t>During development, changes to documents may be required and additional documents requested, depen</w:t>
      </w:r>
      <w:r>
        <w:t>ding on the individual service.</w:t>
      </w:r>
      <w:r w:rsidRPr="006D68AA">
        <w:t xml:space="preserve"> A recommendation t</w:t>
      </w:r>
      <w:r>
        <w:t xml:space="preserve">o issue a licence under the </w:t>
      </w:r>
      <w:r w:rsidRPr="006D68AA">
        <w:t>Act will be put forward to the Secretary for approval when all documentation has been successfully completed.</w:t>
      </w:r>
    </w:p>
    <w:p w:rsidR="00247FFB" w:rsidRDefault="00247FFB">
      <w:pPr>
        <w:tabs>
          <w:tab w:val="clear" w:pos="567"/>
        </w:tabs>
        <w:spacing w:after="200" w:line="276" w:lineRule="auto"/>
        <w:rPr>
          <w:rFonts w:eastAsiaTheme="majorEastAsia" w:cstheme="majorBidi"/>
          <w:b/>
          <w:sz w:val="32"/>
          <w:szCs w:val="26"/>
        </w:rPr>
      </w:pPr>
      <w:r>
        <w:br w:type="page"/>
      </w:r>
    </w:p>
    <w:p w:rsidR="00C7046F" w:rsidRDefault="00C7046F" w:rsidP="00C7046F">
      <w:pPr>
        <w:pStyle w:val="Heading2"/>
      </w:pPr>
      <w:r>
        <w:lastRenderedPageBreak/>
        <w:t>Clinical Governance R</w:t>
      </w:r>
      <w:r w:rsidRPr="00C7046F">
        <w:t>equirements</w:t>
      </w:r>
    </w:p>
    <w:p w:rsidR="00C7046F" w:rsidRDefault="00C7046F" w:rsidP="00C7046F">
      <w:r w:rsidRPr="00C7046F">
        <w:t xml:space="preserve">Health service establishments must have in place a number of documents that outline and support the clinical governance processes for the establishment. The documents need to be provided to the Regulation Unit as part of the application process.  </w:t>
      </w:r>
    </w:p>
    <w:p w:rsidR="00C7046F" w:rsidRPr="00C7046F" w:rsidRDefault="00C7046F" w:rsidP="00C7046F">
      <w:pPr>
        <w:rPr>
          <w:b/>
          <w:u w:val="single"/>
        </w:rPr>
      </w:pPr>
      <w:r w:rsidRPr="00C7046F">
        <w:rPr>
          <w:b/>
          <w:u w:val="single"/>
        </w:rPr>
        <w:t>Mandatory Requirements:</w:t>
      </w:r>
    </w:p>
    <w:p w:rsidR="00C7046F" w:rsidRPr="00C7046F" w:rsidRDefault="00C7046F" w:rsidP="00C7046F">
      <w:pPr>
        <w:rPr>
          <w:b/>
        </w:rPr>
      </w:pPr>
      <w:r w:rsidRPr="00C7046F">
        <w:rPr>
          <w:b/>
        </w:rPr>
        <w:t>Policy and Procedures</w:t>
      </w:r>
    </w:p>
    <w:p w:rsidR="00C7046F" w:rsidRPr="00773357" w:rsidRDefault="00C7046F" w:rsidP="00C7046F">
      <w:pPr>
        <w:pStyle w:val="BulletedListLevel1"/>
      </w:pPr>
      <w:r w:rsidRPr="00773357">
        <w:t>Adverse Events Reporting and Managemen</w:t>
      </w:r>
      <w:r>
        <w:t xml:space="preserve">t policy and procedure (see Regulations </w:t>
      </w:r>
      <w:r w:rsidRPr="00773357">
        <w:t>Sch</w:t>
      </w:r>
      <w:r>
        <w:t>edule</w:t>
      </w:r>
      <w:r w:rsidRPr="00773357">
        <w:t xml:space="preserve"> 1, Part 4 (10))</w:t>
      </w:r>
    </w:p>
    <w:p w:rsidR="00C7046F" w:rsidRPr="00773357" w:rsidRDefault="00C7046F" w:rsidP="00C7046F">
      <w:pPr>
        <w:pStyle w:val="BulletedListLevel1"/>
      </w:pPr>
      <w:r w:rsidRPr="00773357">
        <w:t>Staff Incident and Occupational Health and Safety Management policy and procedure</w:t>
      </w:r>
    </w:p>
    <w:p w:rsidR="00C7046F" w:rsidRPr="00773357" w:rsidRDefault="00C7046F" w:rsidP="00C7046F">
      <w:pPr>
        <w:pStyle w:val="BulletedListLevel1"/>
      </w:pPr>
      <w:r w:rsidRPr="00773357">
        <w:t xml:space="preserve">Feedback and Complaints Management policy and procedure </w:t>
      </w:r>
    </w:p>
    <w:p w:rsidR="00C7046F" w:rsidRPr="00773357" w:rsidRDefault="00C7046F" w:rsidP="00C7046F">
      <w:pPr>
        <w:pStyle w:val="BulletedListLevel1"/>
      </w:pPr>
      <w:r w:rsidRPr="00773357">
        <w:t>Open Disclosure Policy</w:t>
      </w:r>
    </w:p>
    <w:p w:rsidR="00C7046F" w:rsidRPr="00C7046F" w:rsidRDefault="00C7046F" w:rsidP="00C7046F">
      <w:pPr>
        <w:keepNext/>
        <w:rPr>
          <w:b/>
        </w:rPr>
      </w:pPr>
      <w:r w:rsidRPr="00C7046F">
        <w:rPr>
          <w:b/>
        </w:rPr>
        <w:t>Medical Advisory Committee (MAC)</w:t>
      </w:r>
    </w:p>
    <w:p w:rsidR="00C7046F" w:rsidRPr="00773357" w:rsidRDefault="00C7046F" w:rsidP="00C7046F">
      <w:pPr>
        <w:pStyle w:val="BulletedListLevel1"/>
      </w:pPr>
      <w:r w:rsidRPr="00773357">
        <w:t>Terms of Reference – including proper reference to the statutory responsibilities of a MAC under the HSE Regs</w:t>
      </w:r>
    </w:p>
    <w:p w:rsidR="00C7046F" w:rsidRPr="00773357" w:rsidRDefault="00C7046F" w:rsidP="00C7046F">
      <w:pPr>
        <w:pStyle w:val="BulletedListLevel1"/>
      </w:pPr>
      <w:r w:rsidRPr="00773357">
        <w:t>List of MAC Members, qualifications and contact details, commencement date</w:t>
      </w:r>
    </w:p>
    <w:p w:rsidR="00C7046F" w:rsidRDefault="00C7046F" w:rsidP="00C7046F">
      <w:pPr>
        <w:pStyle w:val="BulletedListLevel1"/>
      </w:pPr>
      <w:r>
        <w:t>Process for credentialing health care practitioners and defining their scope of practice</w:t>
      </w:r>
    </w:p>
    <w:p w:rsidR="00C7046F" w:rsidRPr="00C7046F" w:rsidRDefault="00C7046F" w:rsidP="00C7046F">
      <w:pPr>
        <w:rPr>
          <w:b/>
        </w:rPr>
      </w:pPr>
      <w:r w:rsidRPr="00C7046F">
        <w:rPr>
          <w:b/>
        </w:rPr>
        <w:t>Workforce</w:t>
      </w:r>
    </w:p>
    <w:p w:rsidR="00C7046F" w:rsidRDefault="00C7046F" w:rsidP="00C7046F">
      <w:pPr>
        <w:pStyle w:val="BulletedListLevel1"/>
      </w:pPr>
      <w:r>
        <w:t>Statement of duties for key clinical staff including responsibilities, delegations and reporting lines (ie: Director of Nursing)</w:t>
      </w:r>
    </w:p>
    <w:p w:rsidR="00C7046F" w:rsidRDefault="00C7046F" w:rsidP="00C7046F">
      <w:pPr>
        <w:pStyle w:val="BulletedListLevel1"/>
      </w:pPr>
      <w:r>
        <w:t>Evidence of a structured orientation program for new staff</w:t>
      </w:r>
    </w:p>
    <w:p w:rsidR="00C7046F" w:rsidRPr="00C7046F" w:rsidRDefault="00C7046F" w:rsidP="00C7046F">
      <w:pPr>
        <w:rPr>
          <w:b/>
        </w:rPr>
      </w:pPr>
      <w:r w:rsidRPr="00C7046F">
        <w:rPr>
          <w:b/>
        </w:rPr>
        <w:t>Clinical Practice</w:t>
      </w:r>
    </w:p>
    <w:p w:rsidR="00C7046F" w:rsidRDefault="00C7046F" w:rsidP="00C7046F">
      <w:pPr>
        <w:pStyle w:val="BulletedListLevel1"/>
      </w:pPr>
      <w:r>
        <w:t>Operational polices/procedures specific to the clinical practice of the service (see Appendix 1 and 2 below)</w:t>
      </w:r>
    </w:p>
    <w:p w:rsidR="00C7046F" w:rsidRDefault="00C7046F" w:rsidP="00C7046F">
      <w:pPr>
        <w:pStyle w:val="BulletedListLevel1"/>
      </w:pPr>
      <w:r>
        <w:t>Incident management and reporting and logging system</w:t>
      </w:r>
    </w:p>
    <w:p w:rsidR="00C7046F" w:rsidRDefault="00C7046F" w:rsidP="00C7046F">
      <w:pPr>
        <w:pStyle w:val="BulletedListLevel1"/>
      </w:pPr>
      <w:r>
        <w:t>Mechanisms to identify patients ‘at risk of harm’ ie: admission criteria</w:t>
      </w:r>
    </w:p>
    <w:p w:rsidR="00C7046F" w:rsidRDefault="00C7046F" w:rsidP="00C7046F">
      <w:pPr>
        <w:pStyle w:val="BulletedListLevel1"/>
      </w:pPr>
      <w:r>
        <w:t>Management of deteriorating patient and escalation of care i.e.: transfer protocol to higher level care</w:t>
      </w:r>
    </w:p>
    <w:p w:rsidR="00C7046F" w:rsidRPr="00C7046F" w:rsidRDefault="00C7046F" w:rsidP="00C7046F">
      <w:pPr>
        <w:rPr>
          <w:b/>
        </w:rPr>
      </w:pPr>
      <w:r w:rsidRPr="00C7046F">
        <w:rPr>
          <w:b/>
        </w:rPr>
        <w:t xml:space="preserve">Non-clinical </w:t>
      </w:r>
      <w:r>
        <w:rPr>
          <w:b/>
        </w:rPr>
        <w:t>P</w:t>
      </w:r>
      <w:r w:rsidRPr="00C7046F">
        <w:rPr>
          <w:b/>
        </w:rPr>
        <w:t>ractice</w:t>
      </w:r>
    </w:p>
    <w:p w:rsidR="00C7046F" w:rsidRDefault="00C7046F" w:rsidP="00C7046F">
      <w:pPr>
        <w:pStyle w:val="BulletedListLevel1"/>
      </w:pPr>
      <w:r>
        <w:t>Procedures for recording and evaluating the quality of non-clinical services (ie: contracted services) provided at the health service and for correcting any identified problems</w:t>
      </w:r>
    </w:p>
    <w:p w:rsidR="00C7046F" w:rsidRPr="00C7046F" w:rsidRDefault="00C7046F" w:rsidP="00C7046F">
      <w:pPr>
        <w:rPr>
          <w:b/>
        </w:rPr>
      </w:pPr>
      <w:r w:rsidRPr="00C7046F">
        <w:rPr>
          <w:b/>
        </w:rPr>
        <w:t>Please Note:</w:t>
      </w:r>
    </w:p>
    <w:p w:rsidR="00C7046F" w:rsidRDefault="00C7046F" w:rsidP="00C7046F">
      <w:r>
        <w:t xml:space="preserve">All policies and procedure must: </w:t>
      </w:r>
    </w:p>
    <w:p w:rsidR="00C7046F" w:rsidRDefault="00C7046F" w:rsidP="00C7046F">
      <w:pPr>
        <w:pStyle w:val="BulletedListLevel1"/>
      </w:pPr>
      <w:r>
        <w:t>Reflect where necessary the statutory requirements of the HSE Act and HSE Regs</w:t>
      </w:r>
    </w:p>
    <w:p w:rsidR="00C7046F" w:rsidRDefault="00C7046F" w:rsidP="00C7046F">
      <w:pPr>
        <w:pStyle w:val="BulletedListLevel1"/>
      </w:pPr>
      <w:r>
        <w:t xml:space="preserve">Be consistent with the National Safety and Quality Healthcare Standards published by the Australian Commission on Safety and Quality in Healthcare </w:t>
      </w:r>
    </w:p>
    <w:p w:rsidR="00C7046F" w:rsidRDefault="00C7046F" w:rsidP="00C7046F">
      <w:pPr>
        <w:pStyle w:val="BulletedListLevel1"/>
      </w:pPr>
      <w:r>
        <w:t>Include relevant external standards and programs recommended by learned colleges and other relevant professional organisations</w:t>
      </w:r>
    </w:p>
    <w:p w:rsidR="00C7046F" w:rsidRDefault="00C7046F" w:rsidP="00C7046F">
      <w:pPr>
        <w:pStyle w:val="BulletedListLevel1"/>
      </w:pPr>
      <w:r>
        <w:lastRenderedPageBreak/>
        <w:t>Be endorsed by the relevant clinical governance body of the establishment (ie: MAC or Board of Directors)</w:t>
      </w:r>
    </w:p>
    <w:p w:rsidR="00C7046F" w:rsidRDefault="00C7046F" w:rsidP="00C7046F">
      <w:pPr>
        <w:pStyle w:val="BulletedListLevel1"/>
      </w:pPr>
      <w:r>
        <w:t>Include a date of effect and revision date</w:t>
      </w:r>
    </w:p>
    <w:p w:rsidR="00C7046F" w:rsidRDefault="00C7046F" w:rsidP="00C7046F"/>
    <w:p w:rsidR="00C7046F" w:rsidRPr="005A51ED" w:rsidRDefault="00C7046F" w:rsidP="00C7046F">
      <w:pPr>
        <w:pStyle w:val="Heading2"/>
      </w:pPr>
      <w:r>
        <w:t>Res</w:t>
      </w:r>
      <w:r w:rsidRPr="005A51ED">
        <w:t>ources</w:t>
      </w:r>
    </w:p>
    <w:p w:rsidR="00C7046F" w:rsidRPr="000427BD" w:rsidRDefault="00C7046F" w:rsidP="000427BD">
      <w:pPr>
        <w:spacing w:after="0" w:line="240" w:lineRule="auto"/>
      </w:pPr>
      <w:r w:rsidRPr="000427BD">
        <w:rPr>
          <w:i/>
        </w:rPr>
        <w:t>Health Service Establishments Act 2006</w:t>
      </w:r>
      <w:r w:rsidRPr="000427BD">
        <w:t xml:space="preserve"> and </w:t>
      </w:r>
      <w:r w:rsidRPr="000427BD">
        <w:rPr>
          <w:i/>
        </w:rPr>
        <w:t>Health Service Establishments Regulations 2011</w:t>
      </w:r>
    </w:p>
    <w:p w:rsidR="000427BD" w:rsidRDefault="000427BD" w:rsidP="000427BD">
      <w:pPr>
        <w:spacing w:after="0" w:line="240" w:lineRule="auto"/>
      </w:pPr>
      <w:r w:rsidRPr="000427BD">
        <w:t>http://www.legislation.tas.gov.au</w:t>
      </w:r>
    </w:p>
    <w:p w:rsidR="000427BD" w:rsidRDefault="000427BD" w:rsidP="000427BD">
      <w:pPr>
        <w:spacing w:after="0" w:line="240" w:lineRule="auto"/>
      </w:pPr>
    </w:p>
    <w:p w:rsidR="00C7046F" w:rsidRPr="000427BD" w:rsidRDefault="00C7046F" w:rsidP="000427BD">
      <w:pPr>
        <w:spacing w:after="0" w:line="240" w:lineRule="auto"/>
      </w:pPr>
      <w:r w:rsidRPr="000427BD">
        <w:t xml:space="preserve">Australian Commission for Safety and Quality in Healthcare (ACSQHC) </w:t>
      </w:r>
    </w:p>
    <w:p w:rsidR="00C7046F" w:rsidRPr="000427BD" w:rsidRDefault="00C7046F" w:rsidP="000427BD">
      <w:pPr>
        <w:spacing w:after="0" w:line="240" w:lineRule="auto"/>
      </w:pPr>
      <w:r w:rsidRPr="000427BD">
        <w:t>http://www.safetyandquality.gov.au/</w:t>
      </w:r>
    </w:p>
    <w:p w:rsidR="00C7046F" w:rsidRPr="000427BD" w:rsidRDefault="00C7046F" w:rsidP="000427BD">
      <w:pPr>
        <w:spacing w:after="0" w:line="240" w:lineRule="auto"/>
      </w:pPr>
    </w:p>
    <w:p w:rsidR="00C7046F" w:rsidRPr="000427BD" w:rsidRDefault="00C7046F" w:rsidP="000427BD">
      <w:pPr>
        <w:spacing w:after="0" w:line="240" w:lineRule="auto"/>
      </w:pPr>
      <w:r w:rsidRPr="000427BD">
        <w:t>Australian Charter of Healthcare Rights</w:t>
      </w:r>
    </w:p>
    <w:p w:rsidR="00C7046F" w:rsidRPr="000427BD" w:rsidRDefault="00C7046F" w:rsidP="000427BD">
      <w:pPr>
        <w:spacing w:after="0" w:line="240" w:lineRule="auto"/>
      </w:pPr>
      <w:r w:rsidRPr="000427BD">
        <w:t>https://www.safetyandquality.gov.au/publications/using-the-australian-charter-of-healthcare-rights-2/</w:t>
      </w:r>
    </w:p>
    <w:p w:rsidR="00C7046F" w:rsidRPr="000427BD" w:rsidRDefault="00C7046F" w:rsidP="000427BD">
      <w:pPr>
        <w:spacing w:after="0" w:line="240" w:lineRule="auto"/>
      </w:pPr>
    </w:p>
    <w:p w:rsidR="00C7046F" w:rsidRPr="000427BD" w:rsidRDefault="00C7046F" w:rsidP="000427BD">
      <w:pPr>
        <w:spacing w:after="0" w:line="240" w:lineRule="auto"/>
      </w:pPr>
      <w:r w:rsidRPr="000427BD">
        <w:t xml:space="preserve">Open Disclosure </w:t>
      </w:r>
    </w:p>
    <w:p w:rsidR="00C7046F" w:rsidRPr="000427BD" w:rsidRDefault="00C7046F" w:rsidP="000427BD">
      <w:pPr>
        <w:spacing w:after="0" w:line="240" w:lineRule="auto"/>
      </w:pPr>
      <w:r w:rsidRPr="000427BD">
        <w:t>https://www.safetyandquality.gov.au/our-work/open-disclosure/</w:t>
      </w:r>
    </w:p>
    <w:p w:rsidR="00C7046F" w:rsidRPr="000427BD" w:rsidRDefault="00C7046F" w:rsidP="000427BD">
      <w:pPr>
        <w:spacing w:after="0" w:line="240" w:lineRule="auto"/>
      </w:pPr>
    </w:p>
    <w:p w:rsidR="00C7046F" w:rsidRPr="000427BD" w:rsidRDefault="00C7046F" w:rsidP="000427BD">
      <w:pPr>
        <w:spacing w:after="0" w:line="240" w:lineRule="auto"/>
      </w:pPr>
      <w:r w:rsidRPr="000427BD">
        <w:t>Review by Peers: A guide to professional, clinical and administrative processes</w:t>
      </w:r>
    </w:p>
    <w:p w:rsidR="00C7046F" w:rsidRPr="000427BD" w:rsidRDefault="00C7046F" w:rsidP="000427BD">
      <w:pPr>
        <w:spacing w:after="0" w:line="240" w:lineRule="auto"/>
      </w:pPr>
      <w:r w:rsidRPr="000427BD">
        <w:t>https://www.safetyandquality.gov.au/wp-content/uploads/2012/01/37358-Review-by-Peers1.pdf</w:t>
      </w:r>
    </w:p>
    <w:p w:rsidR="00C7046F" w:rsidRPr="000427BD" w:rsidRDefault="00C7046F" w:rsidP="000427BD">
      <w:pPr>
        <w:spacing w:after="0" w:line="240" w:lineRule="auto"/>
      </w:pPr>
    </w:p>
    <w:p w:rsidR="00C7046F" w:rsidRPr="000427BD" w:rsidRDefault="00C7046F" w:rsidP="000427BD">
      <w:pPr>
        <w:spacing w:after="0" w:line="240" w:lineRule="auto"/>
      </w:pPr>
      <w:r w:rsidRPr="000427BD">
        <w:t>Standard for Credentialing and Defining the Scope of Clinical Practice https://www.safetyandquality.gov.au/our-work/credentialling/</w:t>
      </w:r>
    </w:p>
    <w:p w:rsidR="009F3985" w:rsidRPr="000427BD" w:rsidRDefault="009F3985" w:rsidP="000427BD">
      <w:r w:rsidRPr="000427BD">
        <w:br w:type="page"/>
      </w:r>
    </w:p>
    <w:p w:rsidR="00C7046F" w:rsidRPr="005A51ED" w:rsidRDefault="00C7046F" w:rsidP="00C7046F">
      <w:pPr>
        <w:pStyle w:val="Heading2"/>
      </w:pPr>
      <w:bookmarkStart w:id="1" w:name="_Toc481402907"/>
      <w:r w:rsidRPr="005A51ED">
        <w:lastRenderedPageBreak/>
        <w:t>Appendix 1 - Applicant Checklist</w:t>
      </w:r>
      <w:bookmarkEnd w:id="1"/>
    </w:p>
    <w:tbl>
      <w:tblPr>
        <w:tblStyle w:val="TableGrid"/>
        <w:tblW w:w="9742" w:type="dxa"/>
        <w:tblLook w:val="04A0" w:firstRow="1" w:lastRow="0" w:firstColumn="1" w:lastColumn="0" w:noHBand="0" w:noVBand="1"/>
        <w:tblCaption w:val="Appendix 1 - Applicant Checklist"/>
        <w:tblDescription w:val="Appendix 1 - Applicant Checklist"/>
      </w:tblPr>
      <w:tblGrid>
        <w:gridCol w:w="4914"/>
        <w:gridCol w:w="3402"/>
        <w:gridCol w:w="1426"/>
      </w:tblGrid>
      <w:tr w:rsidR="009F3985" w:rsidRPr="00C7046F" w:rsidTr="009F3985">
        <w:trPr>
          <w:tblHeader/>
        </w:trPr>
        <w:tc>
          <w:tcPr>
            <w:tcW w:w="4914" w:type="dxa"/>
            <w:shd w:val="clear" w:color="auto" w:fill="4F81BD" w:themeFill="accent1"/>
            <w:vAlign w:val="center"/>
          </w:tcPr>
          <w:p w:rsidR="00C7046F" w:rsidRPr="00C7046F" w:rsidRDefault="00C7046F" w:rsidP="009F3985">
            <w:pPr>
              <w:spacing w:before="120" w:after="120" w:line="240" w:lineRule="auto"/>
              <w:jc w:val="center"/>
              <w:rPr>
                <w:rFonts w:eastAsia="Times New Roman" w:cs="Times New Roman"/>
                <w:b/>
                <w:color w:val="FFFFFF" w:themeColor="background1"/>
              </w:rPr>
            </w:pPr>
            <w:r w:rsidRPr="00C7046F">
              <w:rPr>
                <w:rFonts w:eastAsia="Times New Roman" w:cs="Times New Roman"/>
                <w:b/>
                <w:color w:val="FFFFFF" w:themeColor="background1"/>
              </w:rPr>
              <w:t>Document Name</w:t>
            </w:r>
          </w:p>
        </w:tc>
        <w:tc>
          <w:tcPr>
            <w:tcW w:w="3402" w:type="dxa"/>
            <w:shd w:val="clear" w:color="auto" w:fill="4F81BD" w:themeFill="accent1"/>
            <w:vAlign w:val="center"/>
          </w:tcPr>
          <w:p w:rsidR="00C7046F" w:rsidRPr="00C7046F" w:rsidRDefault="00C7046F" w:rsidP="009F3985">
            <w:pPr>
              <w:spacing w:before="120" w:after="120" w:line="240" w:lineRule="auto"/>
              <w:jc w:val="center"/>
              <w:rPr>
                <w:rFonts w:eastAsia="Times New Roman" w:cs="Times New Roman"/>
                <w:b/>
                <w:color w:val="FFFFFF" w:themeColor="background1"/>
              </w:rPr>
            </w:pPr>
            <w:r w:rsidRPr="00C7046F">
              <w:rPr>
                <w:rFonts w:eastAsia="Times New Roman" w:cs="Times New Roman"/>
                <w:b/>
                <w:color w:val="FFFFFF" w:themeColor="background1"/>
              </w:rPr>
              <w:t>Statutory Requirement / Required for accreditation / other</w:t>
            </w:r>
          </w:p>
        </w:tc>
        <w:tc>
          <w:tcPr>
            <w:tcW w:w="1426" w:type="dxa"/>
            <w:shd w:val="clear" w:color="auto" w:fill="4F81BD" w:themeFill="accent1"/>
            <w:vAlign w:val="center"/>
          </w:tcPr>
          <w:p w:rsidR="00C7046F" w:rsidRPr="00C7046F" w:rsidRDefault="00C7046F" w:rsidP="009F3985">
            <w:pPr>
              <w:spacing w:before="120" w:after="120" w:line="240" w:lineRule="auto"/>
              <w:jc w:val="center"/>
              <w:rPr>
                <w:rFonts w:eastAsia="Times New Roman" w:cs="Times New Roman"/>
                <w:b/>
                <w:color w:val="FFFFFF" w:themeColor="background1"/>
              </w:rPr>
            </w:pPr>
            <w:r w:rsidRPr="00C7046F">
              <w:rPr>
                <w:rFonts w:eastAsia="Times New Roman" w:cs="Times New Roman"/>
                <w:b/>
                <w:color w:val="FFFFFF" w:themeColor="background1"/>
              </w:rPr>
              <w:t>Included in application (yes/no)</w:t>
            </w:r>
          </w:p>
        </w:tc>
      </w:tr>
      <w:tr w:rsidR="00C7046F" w:rsidRPr="009F3985" w:rsidTr="009F3985">
        <w:trPr>
          <w:trHeight w:val="567"/>
        </w:trPr>
        <w:tc>
          <w:tcPr>
            <w:tcW w:w="9742" w:type="dxa"/>
            <w:gridSpan w:val="3"/>
            <w:shd w:val="clear" w:color="auto" w:fill="auto"/>
            <w:vAlign w:val="center"/>
          </w:tcPr>
          <w:p w:rsidR="00C7046F" w:rsidRPr="009F3985" w:rsidRDefault="00C7046F" w:rsidP="009F3985">
            <w:pPr>
              <w:pStyle w:val="TableText"/>
              <w:rPr>
                <w:b/>
              </w:rPr>
            </w:pPr>
            <w:r w:rsidRPr="009F3985">
              <w:rPr>
                <w:b/>
              </w:rPr>
              <w:t>Governance and Quality Improvement Systems</w:t>
            </w:r>
          </w:p>
        </w:tc>
      </w:tr>
      <w:tr w:rsidR="00C7046F" w:rsidRPr="00C7046F" w:rsidTr="009F3985">
        <w:trPr>
          <w:trHeight w:val="567"/>
        </w:trPr>
        <w:tc>
          <w:tcPr>
            <w:tcW w:w="4914" w:type="dxa"/>
            <w:shd w:val="clear" w:color="auto" w:fill="auto"/>
            <w:vAlign w:val="center"/>
          </w:tcPr>
          <w:p w:rsidR="00C7046F" w:rsidRPr="00C7046F" w:rsidRDefault="00C7046F" w:rsidP="009F3985">
            <w:pPr>
              <w:pStyle w:val="TableText"/>
            </w:pPr>
            <w:r w:rsidRPr="00C7046F">
              <w:t xml:space="preserve">Clinical Governance plan relevant to the facility </w:t>
            </w:r>
          </w:p>
        </w:tc>
        <w:tc>
          <w:tcPr>
            <w:tcW w:w="3402" w:type="dxa"/>
            <w:shd w:val="clear" w:color="auto" w:fill="auto"/>
            <w:vAlign w:val="center"/>
          </w:tcPr>
          <w:p w:rsidR="00C7046F" w:rsidRPr="00C7046F" w:rsidRDefault="00C7046F" w:rsidP="009F3985">
            <w:pPr>
              <w:pStyle w:val="TableText"/>
            </w:pPr>
            <w:r w:rsidRPr="00C7046F">
              <w:t>Required for accreditation to Standard 1</w:t>
            </w:r>
          </w:p>
        </w:tc>
        <w:tc>
          <w:tcPr>
            <w:tcW w:w="1426" w:type="dxa"/>
            <w:shd w:val="clear" w:color="auto" w:fill="auto"/>
            <w:vAlign w:val="center"/>
          </w:tcPr>
          <w:p w:rsidR="00C7046F" w:rsidRPr="00C7046F" w:rsidRDefault="00C7046F" w:rsidP="009F3985">
            <w:pPr>
              <w:pStyle w:val="TableText"/>
            </w:pPr>
          </w:p>
        </w:tc>
      </w:tr>
      <w:tr w:rsidR="00C7046F" w:rsidRPr="00C7046F" w:rsidTr="009F3985">
        <w:trPr>
          <w:trHeight w:val="567"/>
        </w:trPr>
        <w:tc>
          <w:tcPr>
            <w:tcW w:w="4914" w:type="dxa"/>
            <w:shd w:val="clear" w:color="auto" w:fill="auto"/>
            <w:vAlign w:val="center"/>
          </w:tcPr>
          <w:p w:rsidR="00C7046F" w:rsidRPr="00C7046F" w:rsidRDefault="00C7046F" w:rsidP="009F3985">
            <w:pPr>
              <w:pStyle w:val="TableText"/>
            </w:pPr>
            <w:r w:rsidRPr="00C7046F">
              <w:t>Documented vision, mission and strategic objectives</w:t>
            </w:r>
          </w:p>
        </w:tc>
        <w:tc>
          <w:tcPr>
            <w:tcW w:w="3402" w:type="dxa"/>
            <w:shd w:val="clear" w:color="auto" w:fill="auto"/>
            <w:vAlign w:val="center"/>
          </w:tcPr>
          <w:p w:rsidR="00C7046F" w:rsidRPr="00C7046F" w:rsidRDefault="00C7046F" w:rsidP="009F3985">
            <w:pPr>
              <w:pStyle w:val="TableText"/>
            </w:pPr>
            <w:r w:rsidRPr="00C7046F">
              <w:t>Required for accreditation to Standard 1</w:t>
            </w:r>
          </w:p>
        </w:tc>
        <w:tc>
          <w:tcPr>
            <w:tcW w:w="1426" w:type="dxa"/>
            <w:shd w:val="clear" w:color="auto" w:fill="auto"/>
            <w:vAlign w:val="center"/>
          </w:tcPr>
          <w:p w:rsidR="00C7046F" w:rsidRPr="00C7046F" w:rsidRDefault="00C7046F" w:rsidP="009F3985">
            <w:pPr>
              <w:pStyle w:val="TableText"/>
            </w:pPr>
          </w:p>
        </w:tc>
      </w:tr>
      <w:tr w:rsidR="00C7046F" w:rsidRPr="00C7046F" w:rsidTr="009F3985">
        <w:trPr>
          <w:trHeight w:val="567"/>
        </w:trPr>
        <w:tc>
          <w:tcPr>
            <w:tcW w:w="4914" w:type="dxa"/>
            <w:shd w:val="clear" w:color="auto" w:fill="auto"/>
            <w:vAlign w:val="center"/>
          </w:tcPr>
          <w:p w:rsidR="00C7046F" w:rsidRPr="00C7046F" w:rsidRDefault="00C7046F" w:rsidP="009F3985">
            <w:pPr>
              <w:pStyle w:val="TableText"/>
            </w:pPr>
            <w:r w:rsidRPr="00C7046F">
              <w:t>Organisational chart</w:t>
            </w:r>
          </w:p>
        </w:tc>
        <w:tc>
          <w:tcPr>
            <w:tcW w:w="3402" w:type="dxa"/>
            <w:shd w:val="clear" w:color="auto" w:fill="auto"/>
            <w:vAlign w:val="center"/>
          </w:tcPr>
          <w:p w:rsidR="00C7046F" w:rsidRPr="00C7046F" w:rsidRDefault="00C7046F" w:rsidP="009F3985">
            <w:pPr>
              <w:pStyle w:val="TableText"/>
            </w:pPr>
            <w:r w:rsidRPr="00C7046F">
              <w:t>Required for accreditation to Standard 1</w:t>
            </w:r>
          </w:p>
        </w:tc>
        <w:tc>
          <w:tcPr>
            <w:tcW w:w="1426" w:type="dxa"/>
            <w:shd w:val="clear" w:color="auto" w:fill="auto"/>
            <w:vAlign w:val="center"/>
          </w:tcPr>
          <w:p w:rsidR="00C7046F" w:rsidRPr="00C7046F" w:rsidRDefault="00C7046F" w:rsidP="009F3985">
            <w:pPr>
              <w:pStyle w:val="TableText"/>
            </w:pPr>
          </w:p>
        </w:tc>
      </w:tr>
      <w:tr w:rsidR="00C7046F" w:rsidRPr="00C7046F" w:rsidTr="009F3985">
        <w:trPr>
          <w:trHeight w:val="567"/>
        </w:trPr>
        <w:tc>
          <w:tcPr>
            <w:tcW w:w="4914" w:type="dxa"/>
            <w:shd w:val="clear" w:color="auto" w:fill="auto"/>
            <w:vAlign w:val="center"/>
          </w:tcPr>
          <w:p w:rsidR="00C7046F" w:rsidRPr="00C7046F" w:rsidRDefault="00C7046F" w:rsidP="009F3985">
            <w:pPr>
              <w:pStyle w:val="TableText"/>
            </w:pPr>
            <w:r w:rsidRPr="00C7046F">
              <w:t>Risk register and Management Plan</w:t>
            </w:r>
          </w:p>
        </w:tc>
        <w:tc>
          <w:tcPr>
            <w:tcW w:w="3402" w:type="dxa"/>
            <w:shd w:val="clear" w:color="auto" w:fill="auto"/>
            <w:vAlign w:val="center"/>
          </w:tcPr>
          <w:p w:rsidR="00C7046F" w:rsidRPr="00C7046F" w:rsidRDefault="00C7046F" w:rsidP="009F3985">
            <w:pPr>
              <w:pStyle w:val="TableText"/>
            </w:pPr>
            <w:r w:rsidRPr="00C7046F">
              <w:t>Required for accreditation to Standard 1</w:t>
            </w:r>
          </w:p>
        </w:tc>
        <w:tc>
          <w:tcPr>
            <w:tcW w:w="1426" w:type="dxa"/>
            <w:shd w:val="clear" w:color="auto" w:fill="auto"/>
            <w:vAlign w:val="center"/>
          </w:tcPr>
          <w:p w:rsidR="00C7046F" w:rsidRPr="00C7046F" w:rsidRDefault="00C7046F" w:rsidP="009F3985">
            <w:pPr>
              <w:pStyle w:val="TableText"/>
            </w:pPr>
          </w:p>
        </w:tc>
      </w:tr>
      <w:tr w:rsidR="00C7046F" w:rsidRPr="00C7046F" w:rsidTr="009F3985">
        <w:trPr>
          <w:trHeight w:val="567"/>
        </w:trPr>
        <w:tc>
          <w:tcPr>
            <w:tcW w:w="4914" w:type="dxa"/>
            <w:shd w:val="clear" w:color="auto" w:fill="auto"/>
            <w:vAlign w:val="center"/>
          </w:tcPr>
          <w:p w:rsidR="00C7046F" w:rsidRPr="00C7046F" w:rsidRDefault="00C7046F" w:rsidP="009F3985">
            <w:pPr>
              <w:pStyle w:val="TableText"/>
            </w:pPr>
            <w:r w:rsidRPr="00C7046F">
              <w:t>Quality Improvement Plan – Activities (clinical and non-clinical)</w:t>
            </w:r>
          </w:p>
        </w:tc>
        <w:tc>
          <w:tcPr>
            <w:tcW w:w="3402" w:type="dxa"/>
            <w:shd w:val="clear" w:color="auto" w:fill="auto"/>
            <w:vAlign w:val="center"/>
          </w:tcPr>
          <w:p w:rsidR="00C7046F" w:rsidRPr="00C7046F" w:rsidRDefault="00C7046F" w:rsidP="009F3985">
            <w:pPr>
              <w:pStyle w:val="TableText"/>
            </w:pPr>
            <w:r w:rsidRPr="00C7046F">
              <w:t>Required for accreditation to Standard 1</w:t>
            </w:r>
          </w:p>
        </w:tc>
        <w:tc>
          <w:tcPr>
            <w:tcW w:w="1426" w:type="dxa"/>
            <w:shd w:val="clear" w:color="auto" w:fill="auto"/>
            <w:vAlign w:val="center"/>
          </w:tcPr>
          <w:p w:rsidR="00C7046F" w:rsidRPr="00C7046F" w:rsidRDefault="00C7046F" w:rsidP="009F3985">
            <w:pPr>
              <w:pStyle w:val="TableText"/>
            </w:pPr>
          </w:p>
        </w:tc>
      </w:tr>
      <w:tr w:rsidR="00C7046F" w:rsidRPr="00C7046F" w:rsidTr="009F3985">
        <w:trPr>
          <w:trHeight w:val="567"/>
        </w:trPr>
        <w:tc>
          <w:tcPr>
            <w:tcW w:w="4914" w:type="dxa"/>
            <w:shd w:val="clear" w:color="auto" w:fill="auto"/>
            <w:vAlign w:val="center"/>
          </w:tcPr>
          <w:p w:rsidR="00C7046F" w:rsidRPr="00C7046F" w:rsidRDefault="00C7046F" w:rsidP="009F3985">
            <w:pPr>
              <w:pStyle w:val="TableText"/>
            </w:pPr>
            <w:r w:rsidRPr="00C7046F">
              <w:t>Plan and policy in the event of a fire or other emergency evacuation</w:t>
            </w:r>
          </w:p>
        </w:tc>
        <w:tc>
          <w:tcPr>
            <w:tcW w:w="3402" w:type="dxa"/>
            <w:shd w:val="clear" w:color="auto" w:fill="auto"/>
            <w:vAlign w:val="center"/>
          </w:tcPr>
          <w:p w:rsidR="00C7046F" w:rsidRPr="00C7046F" w:rsidRDefault="00C7046F" w:rsidP="009F3985">
            <w:pPr>
              <w:pStyle w:val="TableText"/>
            </w:pPr>
            <w:r w:rsidRPr="00C7046F">
              <w:t>Required for accreditation to Standard 1</w:t>
            </w:r>
          </w:p>
        </w:tc>
        <w:tc>
          <w:tcPr>
            <w:tcW w:w="1426" w:type="dxa"/>
            <w:shd w:val="clear" w:color="auto" w:fill="auto"/>
            <w:vAlign w:val="center"/>
          </w:tcPr>
          <w:p w:rsidR="00C7046F" w:rsidRPr="00C7046F" w:rsidRDefault="00C7046F" w:rsidP="009F3985">
            <w:pPr>
              <w:pStyle w:val="TableText"/>
            </w:pPr>
          </w:p>
        </w:tc>
      </w:tr>
      <w:tr w:rsidR="00C7046F" w:rsidRPr="00C7046F" w:rsidTr="009F3985">
        <w:trPr>
          <w:trHeight w:val="567"/>
        </w:trPr>
        <w:tc>
          <w:tcPr>
            <w:tcW w:w="4914" w:type="dxa"/>
            <w:shd w:val="clear" w:color="auto" w:fill="auto"/>
            <w:vAlign w:val="center"/>
          </w:tcPr>
          <w:p w:rsidR="00C7046F" w:rsidRPr="00C7046F" w:rsidRDefault="00C7046F" w:rsidP="009F3985">
            <w:pPr>
              <w:pStyle w:val="TableText"/>
            </w:pPr>
            <w:r w:rsidRPr="00C7046F">
              <w:t>Consumer engagement plan and tools</w:t>
            </w:r>
          </w:p>
        </w:tc>
        <w:tc>
          <w:tcPr>
            <w:tcW w:w="3402" w:type="dxa"/>
            <w:shd w:val="clear" w:color="auto" w:fill="auto"/>
            <w:vAlign w:val="center"/>
          </w:tcPr>
          <w:p w:rsidR="00C7046F" w:rsidRPr="00C7046F" w:rsidRDefault="00C7046F" w:rsidP="009F3985">
            <w:pPr>
              <w:pStyle w:val="TableText"/>
            </w:pPr>
            <w:r w:rsidRPr="00C7046F">
              <w:t>Required for accreditation to Standard 1</w:t>
            </w:r>
          </w:p>
        </w:tc>
        <w:tc>
          <w:tcPr>
            <w:tcW w:w="1426" w:type="dxa"/>
            <w:shd w:val="clear" w:color="auto" w:fill="auto"/>
            <w:vAlign w:val="center"/>
          </w:tcPr>
          <w:p w:rsidR="00C7046F" w:rsidRPr="00C7046F" w:rsidRDefault="00C7046F" w:rsidP="009F3985">
            <w:pPr>
              <w:pStyle w:val="TableText"/>
            </w:pPr>
          </w:p>
        </w:tc>
      </w:tr>
      <w:tr w:rsidR="00C7046F" w:rsidRPr="00C7046F" w:rsidTr="009F3985">
        <w:trPr>
          <w:trHeight w:val="567"/>
        </w:trPr>
        <w:tc>
          <w:tcPr>
            <w:tcW w:w="4914" w:type="dxa"/>
            <w:shd w:val="clear" w:color="auto" w:fill="auto"/>
            <w:vAlign w:val="center"/>
          </w:tcPr>
          <w:p w:rsidR="00C7046F" w:rsidRPr="00C7046F" w:rsidRDefault="00C7046F" w:rsidP="009F3985">
            <w:pPr>
              <w:pStyle w:val="TableText"/>
            </w:pPr>
            <w:r w:rsidRPr="00C7046F">
              <w:t>Medical Advisory Committee with Terms of Reference</w:t>
            </w:r>
          </w:p>
        </w:tc>
        <w:tc>
          <w:tcPr>
            <w:tcW w:w="3402" w:type="dxa"/>
            <w:shd w:val="clear" w:color="auto" w:fill="auto"/>
            <w:vAlign w:val="center"/>
          </w:tcPr>
          <w:p w:rsidR="00C7046F" w:rsidRPr="009F3985" w:rsidRDefault="00C7046F" w:rsidP="009F3985">
            <w:pPr>
              <w:pStyle w:val="TableText"/>
              <w:rPr>
                <w:b/>
              </w:rPr>
            </w:pPr>
            <w:r w:rsidRPr="009F3985">
              <w:rPr>
                <w:b/>
              </w:rPr>
              <w:t>Statutory requirement</w:t>
            </w:r>
          </w:p>
        </w:tc>
        <w:tc>
          <w:tcPr>
            <w:tcW w:w="1426" w:type="dxa"/>
            <w:shd w:val="clear" w:color="auto" w:fill="auto"/>
            <w:vAlign w:val="center"/>
          </w:tcPr>
          <w:p w:rsidR="00C7046F" w:rsidRPr="00C7046F" w:rsidRDefault="00C7046F" w:rsidP="009F3985">
            <w:pPr>
              <w:pStyle w:val="TableText"/>
            </w:pPr>
          </w:p>
        </w:tc>
      </w:tr>
      <w:tr w:rsidR="00C7046F" w:rsidRPr="00C7046F" w:rsidTr="009F3985">
        <w:trPr>
          <w:trHeight w:val="567"/>
        </w:trPr>
        <w:tc>
          <w:tcPr>
            <w:tcW w:w="4914" w:type="dxa"/>
            <w:shd w:val="clear" w:color="auto" w:fill="auto"/>
            <w:vAlign w:val="center"/>
          </w:tcPr>
          <w:p w:rsidR="00C7046F" w:rsidRPr="00C7046F" w:rsidRDefault="00C7046F" w:rsidP="009F3985">
            <w:pPr>
              <w:pStyle w:val="TableText"/>
            </w:pPr>
            <w:r w:rsidRPr="00C7046F">
              <w:t>Credentialing Health Practitioners and defining their scope of practice – plan and process (including checking professional registration requirements)</w:t>
            </w:r>
          </w:p>
        </w:tc>
        <w:tc>
          <w:tcPr>
            <w:tcW w:w="3402" w:type="dxa"/>
            <w:shd w:val="clear" w:color="auto" w:fill="auto"/>
            <w:vAlign w:val="center"/>
          </w:tcPr>
          <w:p w:rsidR="00C7046F" w:rsidRPr="009F3985" w:rsidRDefault="00C7046F" w:rsidP="009F3985">
            <w:pPr>
              <w:pStyle w:val="TableText"/>
              <w:rPr>
                <w:b/>
              </w:rPr>
            </w:pPr>
            <w:r w:rsidRPr="009F3985">
              <w:rPr>
                <w:b/>
              </w:rPr>
              <w:t>Statutory requirement</w:t>
            </w:r>
          </w:p>
        </w:tc>
        <w:tc>
          <w:tcPr>
            <w:tcW w:w="1426" w:type="dxa"/>
            <w:shd w:val="clear" w:color="auto" w:fill="auto"/>
            <w:vAlign w:val="center"/>
          </w:tcPr>
          <w:p w:rsidR="00C7046F" w:rsidRPr="00C7046F" w:rsidRDefault="00C7046F" w:rsidP="009F3985">
            <w:pPr>
              <w:pStyle w:val="TableText"/>
            </w:pPr>
          </w:p>
        </w:tc>
      </w:tr>
      <w:tr w:rsidR="00C7046F" w:rsidRPr="00C7046F" w:rsidTr="009F3985">
        <w:trPr>
          <w:trHeight w:val="567"/>
        </w:trPr>
        <w:tc>
          <w:tcPr>
            <w:tcW w:w="4914" w:type="dxa"/>
            <w:shd w:val="clear" w:color="auto" w:fill="auto"/>
            <w:vAlign w:val="center"/>
          </w:tcPr>
          <w:p w:rsidR="00C7046F" w:rsidRPr="00C7046F" w:rsidRDefault="00C7046F" w:rsidP="009F3985">
            <w:pPr>
              <w:pStyle w:val="TableText"/>
            </w:pPr>
            <w:r w:rsidRPr="00C7046F">
              <w:t xml:space="preserve">Workforce Statement of Duties, including responsibilities, delegations, reporting lines </w:t>
            </w:r>
          </w:p>
        </w:tc>
        <w:tc>
          <w:tcPr>
            <w:tcW w:w="3402" w:type="dxa"/>
            <w:shd w:val="clear" w:color="auto" w:fill="auto"/>
            <w:vAlign w:val="center"/>
          </w:tcPr>
          <w:p w:rsidR="00C7046F" w:rsidRPr="009F3985" w:rsidRDefault="00C7046F" w:rsidP="009F3985">
            <w:pPr>
              <w:pStyle w:val="TableText"/>
              <w:rPr>
                <w:b/>
              </w:rPr>
            </w:pPr>
            <w:r w:rsidRPr="009F3985">
              <w:rPr>
                <w:b/>
              </w:rPr>
              <w:t>Statutory requirement</w:t>
            </w:r>
          </w:p>
        </w:tc>
        <w:tc>
          <w:tcPr>
            <w:tcW w:w="1426" w:type="dxa"/>
            <w:shd w:val="clear" w:color="auto" w:fill="auto"/>
            <w:vAlign w:val="center"/>
          </w:tcPr>
          <w:p w:rsidR="00C7046F" w:rsidRPr="00C7046F" w:rsidRDefault="00C7046F" w:rsidP="009F3985">
            <w:pPr>
              <w:pStyle w:val="TableText"/>
            </w:pPr>
          </w:p>
        </w:tc>
      </w:tr>
      <w:tr w:rsidR="00C7046F" w:rsidRPr="00C7046F" w:rsidTr="009F3985">
        <w:trPr>
          <w:trHeight w:val="567"/>
        </w:trPr>
        <w:tc>
          <w:tcPr>
            <w:tcW w:w="4914" w:type="dxa"/>
            <w:shd w:val="clear" w:color="auto" w:fill="auto"/>
            <w:vAlign w:val="center"/>
          </w:tcPr>
          <w:p w:rsidR="00C7046F" w:rsidRPr="00C7046F" w:rsidRDefault="00C7046F" w:rsidP="009F3985">
            <w:pPr>
              <w:pStyle w:val="TableText"/>
            </w:pPr>
            <w:r w:rsidRPr="00C7046F">
              <w:t>Strategies for communicating with the clinical and non-clinical workforce i.e.: monthly staff meetings</w:t>
            </w:r>
          </w:p>
        </w:tc>
        <w:tc>
          <w:tcPr>
            <w:tcW w:w="3402" w:type="dxa"/>
            <w:shd w:val="clear" w:color="auto" w:fill="auto"/>
            <w:vAlign w:val="center"/>
          </w:tcPr>
          <w:p w:rsidR="00C7046F" w:rsidRPr="00C7046F" w:rsidRDefault="00C7046F" w:rsidP="009F3985">
            <w:pPr>
              <w:pStyle w:val="TableText"/>
            </w:pPr>
            <w:r w:rsidRPr="00C7046F">
              <w:t>Required for accreditation to Standard 1</w:t>
            </w:r>
          </w:p>
        </w:tc>
        <w:tc>
          <w:tcPr>
            <w:tcW w:w="1426" w:type="dxa"/>
            <w:shd w:val="clear" w:color="auto" w:fill="auto"/>
            <w:vAlign w:val="center"/>
          </w:tcPr>
          <w:p w:rsidR="00C7046F" w:rsidRPr="00C7046F" w:rsidRDefault="00C7046F" w:rsidP="009F3985">
            <w:pPr>
              <w:pStyle w:val="TableText"/>
            </w:pPr>
          </w:p>
        </w:tc>
      </w:tr>
      <w:tr w:rsidR="00C7046F" w:rsidRPr="00C7046F" w:rsidTr="009F3985">
        <w:trPr>
          <w:trHeight w:val="567"/>
        </w:trPr>
        <w:tc>
          <w:tcPr>
            <w:tcW w:w="4914" w:type="dxa"/>
            <w:shd w:val="clear" w:color="auto" w:fill="auto"/>
            <w:vAlign w:val="center"/>
          </w:tcPr>
          <w:p w:rsidR="00C7046F" w:rsidRPr="00C7046F" w:rsidRDefault="00C7046F" w:rsidP="009F3985">
            <w:pPr>
              <w:pStyle w:val="TableText"/>
            </w:pPr>
            <w:r w:rsidRPr="00C7046F">
              <w:t>Staff performance management policy and program</w:t>
            </w:r>
          </w:p>
        </w:tc>
        <w:tc>
          <w:tcPr>
            <w:tcW w:w="3402" w:type="dxa"/>
            <w:shd w:val="clear" w:color="auto" w:fill="auto"/>
            <w:vAlign w:val="center"/>
          </w:tcPr>
          <w:p w:rsidR="00C7046F" w:rsidRPr="00C7046F" w:rsidRDefault="00C7046F" w:rsidP="009F3985">
            <w:pPr>
              <w:pStyle w:val="TableText"/>
            </w:pPr>
            <w:r w:rsidRPr="00C7046F">
              <w:t>Required for accreditation to Standard 1</w:t>
            </w:r>
          </w:p>
        </w:tc>
        <w:tc>
          <w:tcPr>
            <w:tcW w:w="1426" w:type="dxa"/>
            <w:shd w:val="clear" w:color="auto" w:fill="auto"/>
            <w:vAlign w:val="center"/>
          </w:tcPr>
          <w:p w:rsidR="00C7046F" w:rsidRPr="00C7046F" w:rsidRDefault="00C7046F" w:rsidP="009F3985">
            <w:pPr>
              <w:pStyle w:val="TableText"/>
            </w:pPr>
          </w:p>
        </w:tc>
      </w:tr>
      <w:tr w:rsidR="00C7046F" w:rsidRPr="00C7046F" w:rsidTr="009F3985">
        <w:trPr>
          <w:trHeight w:val="567"/>
        </w:trPr>
        <w:tc>
          <w:tcPr>
            <w:tcW w:w="4914" w:type="dxa"/>
            <w:shd w:val="clear" w:color="auto" w:fill="auto"/>
            <w:vAlign w:val="center"/>
          </w:tcPr>
          <w:p w:rsidR="00C7046F" w:rsidRPr="00C7046F" w:rsidRDefault="00C7046F" w:rsidP="009F3985">
            <w:pPr>
              <w:pStyle w:val="TableText"/>
            </w:pPr>
            <w:r w:rsidRPr="00C7046F">
              <w:t>Staff orientation manual / program</w:t>
            </w:r>
          </w:p>
        </w:tc>
        <w:tc>
          <w:tcPr>
            <w:tcW w:w="3402" w:type="dxa"/>
            <w:shd w:val="clear" w:color="auto" w:fill="auto"/>
            <w:vAlign w:val="center"/>
          </w:tcPr>
          <w:p w:rsidR="00C7046F" w:rsidRPr="009F3985" w:rsidRDefault="00C7046F" w:rsidP="009F3985">
            <w:pPr>
              <w:pStyle w:val="TableText"/>
              <w:rPr>
                <w:b/>
              </w:rPr>
            </w:pPr>
            <w:r w:rsidRPr="009F3985">
              <w:rPr>
                <w:b/>
              </w:rPr>
              <w:t xml:space="preserve">Statutory requirement </w:t>
            </w:r>
          </w:p>
        </w:tc>
        <w:tc>
          <w:tcPr>
            <w:tcW w:w="1426" w:type="dxa"/>
            <w:shd w:val="clear" w:color="auto" w:fill="auto"/>
            <w:vAlign w:val="center"/>
          </w:tcPr>
          <w:p w:rsidR="00C7046F" w:rsidRPr="00C7046F" w:rsidRDefault="00C7046F" w:rsidP="009F3985">
            <w:pPr>
              <w:pStyle w:val="TableText"/>
            </w:pPr>
          </w:p>
        </w:tc>
      </w:tr>
      <w:tr w:rsidR="00C7046F" w:rsidRPr="00C7046F" w:rsidTr="009F3985">
        <w:trPr>
          <w:trHeight w:val="567"/>
        </w:trPr>
        <w:tc>
          <w:tcPr>
            <w:tcW w:w="4914" w:type="dxa"/>
            <w:tcBorders>
              <w:bottom w:val="single" w:sz="4" w:space="0" w:color="auto"/>
            </w:tcBorders>
            <w:shd w:val="clear" w:color="auto" w:fill="auto"/>
            <w:vAlign w:val="center"/>
          </w:tcPr>
          <w:p w:rsidR="00C7046F" w:rsidRPr="00C7046F" w:rsidRDefault="00C7046F" w:rsidP="009F3985">
            <w:pPr>
              <w:pStyle w:val="TableText"/>
            </w:pPr>
            <w:r w:rsidRPr="00C7046F">
              <w:t>Staff education and training policy &amp; program – i.e.: annual competencies</w:t>
            </w:r>
          </w:p>
        </w:tc>
        <w:tc>
          <w:tcPr>
            <w:tcW w:w="3402" w:type="dxa"/>
            <w:tcBorders>
              <w:bottom w:val="single" w:sz="4" w:space="0" w:color="auto"/>
            </w:tcBorders>
            <w:shd w:val="clear" w:color="auto" w:fill="auto"/>
            <w:vAlign w:val="center"/>
          </w:tcPr>
          <w:p w:rsidR="00C7046F" w:rsidRPr="00C7046F" w:rsidRDefault="00C7046F" w:rsidP="009F3985">
            <w:pPr>
              <w:pStyle w:val="TableText"/>
            </w:pPr>
            <w:r w:rsidRPr="00C7046F">
              <w:t>Required for accreditation to Standard 1</w:t>
            </w:r>
          </w:p>
        </w:tc>
        <w:tc>
          <w:tcPr>
            <w:tcW w:w="1426" w:type="dxa"/>
            <w:tcBorders>
              <w:bottom w:val="single" w:sz="4" w:space="0" w:color="auto"/>
            </w:tcBorders>
            <w:shd w:val="clear" w:color="auto" w:fill="auto"/>
            <w:vAlign w:val="center"/>
          </w:tcPr>
          <w:p w:rsidR="00C7046F" w:rsidRPr="00C7046F" w:rsidRDefault="00C7046F" w:rsidP="009F3985">
            <w:pPr>
              <w:pStyle w:val="TableText"/>
            </w:pPr>
          </w:p>
        </w:tc>
      </w:tr>
      <w:tr w:rsidR="00C7046F" w:rsidRPr="009F3985" w:rsidTr="009F3985">
        <w:trPr>
          <w:trHeight w:val="567"/>
        </w:trPr>
        <w:tc>
          <w:tcPr>
            <w:tcW w:w="9742" w:type="dxa"/>
            <w:gridSpan w:val="3"/>
            <w:shd w:val="clear" w:color="auto" w:fill="auto"/>
            <w:vAlign w:val="center"/>
          </w:tcPr>
          <w:p w:rsidR="00C7046F" w:rsidRPr="009F3985" w:rsidRDefault="00C7046F" w:rsidP="009F3985">
            <w:pPr>
              <w:pStyle w:val="TableText"/>
              <w:rPr>
                <w:b/>
              </w:rPr>
            </w:pPr>
            <w:r w:rsidRPr="009F3985">
              <w:rPr>
                <w:b/>
              </w:rPr>
              <w:t>Clinical Practice</w:t>
            </w:r>
          </w:p>
        </w:tc>
      </w:tr>
      <w:tr w:rsidR="00C7046F" w:rsidRPr="00C7046F" w:rsidTr="009F3985">
        <w:trPr>
          <w:trHeight w:val="567"/>
        </w:trPr>
        <w:tc>
          <w:tcPr>
            <w:tcW w:w="4914" w:type="dxa"/>
            <w:shd w:val="clear" w:color="auto" w:fill="auto"/>
            <w:vAlign w:val="center"/>
          </w:tcPr>
          <w:p w:rsidR="00C7046F" w:rsidRPr="00C7046F" w:rsidRDefault="00C7046F" w:rsidP="009F3985">
            <w:pPr>
              <w:pStyle w:val="TableText"/>
            </w:pPr>
            <w:r w:rsidRPr="00C7046F">
              <w:t>Mechanisms in place to identify patients at increased risk of harm; complexity / out of scope for service capability i.e.: admission criteria</w:t>
            </w:r>
          </w:p>
        </w:tc>
        <w:tc>
          <w:tcPr>
            <w:tcW w:w="3402" w:type="dxa"/>
            <w:shd w:val="clear" w:color="auto" w:fill="auto"/>
            <w:vAlign w:val="center"/>
          </w:tcPr>
          <w:p w:rsidR="00C7046F" w:rsidRPr="00C7046F" w:rsidRDefault="00C7046F" w:rsidP="009F3985">
            <w:pPr>
              <w:pStyle w:val="TableText"/>
            </w:pPr>
            <w:r w:rsidRPr="00C7046F">
              <w:t>In accordance with best practice, clinical care standards and service scope</w:t>
            </w:r>
          </w:p>
        </w:tc>
        <w:tc>
          <w:tcPr>
            <w:tcW w:w="1426" w:type="dxa"/>
            <w:shd w:val="clear" w:color="auto" w:fill="auto"/>
            <w:vAlign w:val="center"/>
          </w:tcPr>
          <w:p w:rsidR="00C7046F" w:rsidRPr="00C7046F" w:rsidRDefault="00C7046F" w:rsidP="009F3985">
            <w:pPr>
              <w:pStyle w:val="TableText"/>
            </w:pPr>
          </w:p>
        </w:tc>
      </w:tr>
      <w:tr w:rsidR="00C7046F" w:rsidRPr="009F3985" w:rsidTr="009F3985">
        <w:trPr>
          <w:trHeight w:val="567"/>
        </w:trPr>
        <w:tc>
          <w:tcPr>
            <w:tcW w:w="9742" w:type="dxa"/>
            <w:gridSpan w:val="3"/>
            <w:shd w:val="clear" w:color="auto" w:fill="auto"/>
            <w:vAlign w:val="center"/>
          </w:tcPr>
          <w:p w:rsidR="00C7046F" w:rsidRPr="009F3985" w:rsidRDefault="00C7046F" w:rsidP="009F3985">
            <w:pPr>
              <w:pStyle w:val="TableText"/>
              <w:rPr>
                <w:rFonts w:cs="Arial"/>
                <w:b/>
                <w:bCs/>
                <w:iCs/>
              </w:rPr>
            </w:pPr>
            <w:r w:rsidRPr="009F3985">
              <w:rPr>
                <w:rFonts w:cs="Arial"/>
                <w:b/>
                <w:bCs/>
                <w:iCs/>
              </w:rPr>
              <w:t>Incident and Complaints Management</w:t>
            </w:r>
          </w:p>
        </w:tc>
      </w:tr>
      <w:tr w:rsidR="00C7046F" w:rsidRPr="00C7046F" w:rsidTr="009F3985">
        <w:trPr>
          <w:trHeight w:val="567"/>
        </w:trPr>
        <w:tc>
          <w:tcPr>
            <w:tcW w:w="4914" w:type="dxa"/>
            <w:shd w:val="clear" w:color="auto" w:fill="auto"/>
            <w:vAlign w:val="center"/>
          </w:tcPr>
          <w:p w:rsidR="00C7046F" w:rsidRPr="00C7046F" w:rsidRDefault="00C7046F" w:rsidP="009F3985">
            <w:pPr>
              <w:pStyle w:val="TableText"/>
            </w:pPr>
            <w:r w:rsidRPr="00C7046F">
              <w:t>Clinical operational policies/ procedures/ guidelines/ pathways supported by best practice, applicable to the practice setting</w:t>
            </w:r>
          </w:p>
        </w:tc>
        <w:tc>
          <w:tcPr>
            <w:tcW w:w="3402" w:type="dxa"/>
            <w:shd w:val="clear" w:color="auto" w:fill="auto"/>
            <w:vAlign w:val="center"/>
          </w:tcPr>
          <w:p w:rsidR="00C7046F" w:rsidRPr="009F3985" w:rsidRDefault="00C7046F" w:rsidP="009F3985">
            <w:pPr>
              <w:pStyle w:val="TableText"/>
              <w:rPr>
                <w:b/>
              </w:rPr>
            </w:pPr>
            <w:r w:rsidRPr="009F3985">
              <w:rPr>
                <w:b/>
              </w:rPr>
              <w:t xml:space="preserve">Specific policies depending on service will be required for safety and quality </w:t>
            </w:r>
            <w:r w:rsidR="009F3985">
              <w:rPr>
                <w:b/>
              </w:rPr>
              <w:br/>
            </w:r>
            <w:r w:rsidRPr="009F3985">
              <w:t>(refer to Appendix 2)</w:t>
            </w:r>
          </w:p>
        </w:tc>
        <w:tc>
          <w:tcPr>
            <w:tcW w:w="1426" w:type="dxa"/>
            <w:shd w:val="clear" w:color="auto" w:fill="auto"/>
            <w:vAlign w:val="center"/>
          </w:tcPr>
          <w:p w:rsidR="00C7046F" w:rsidRPr="00C7046F" w:rsidRDefault="00C7046F" w:rsidP="009F3985">
            <w:pPr>
              <w:pStyle w:val="TableText"/>
              <w:rPr>
                <w:rFonts w:cs="Arial"/>
                <w:bCs/>
                <w:iCs/>
              </w:rPr>
            </w:pPr>
          </w:p>
        </w:tc>
      </w:tr>
      <w:tr w:rsidR="00C7046F" w:rsidRPr="00C7046F" w:rsidTr="009F3985">
        <w:trPr>
          <w:trHeight w:val="567"/>
        </w:trPr>
        <w:tc>
          <w:tcPr>
            <w:tcW w:w="4914" w:type="dxa"/>
            <w:shd w:val="clear" w:color="auto" w:fill="auto"/>
            <w:vAlign w:val="center"/>
          </w:tcPr>
          <w:p w:rsidR="00C7046F" w:rsidRPr="00C7046F" w:rsidRDefault="00C7046F" w:rsidP="009F3985">
            <w:pPr>
              <w:pStyle w:val="TableText"/>
            </w:pPr>
            <w:r w:rsidRPr="00C7046F">
              <w:t xml:space="preserve">Systems, processes and policies to manage deteriorating patient and escalation of care to higher level </w:t>
            </w:r>
          </w:p>
        </w:tc>
        <w:tc>
          <w:tcPr>
            <w:tcW w:w="3402" w:type="dxa"/>
            <w:shd w:val="clear" w:color="auto" w:fill="auto"/>
            <w:vAlign w:val="center"/>
          </w:tcPr>
          <w:p w:rsidR="00C7046F" w:rsidRPr="00C7046F" w:rsidRDefault="00C7046F" w:rsidP="009F3985">
            <w:pPr>
              <w:pStyle w:val="TableText"/>
            </w:pPr>
            <w:r w:rsidRPr="00C7046F">
              <w:t xml:space="preserve"> In accordance with best practice, clinical care standards, and service scope</w:t>
            </w:r>
          </w:p>
        </w:tc>
        <w:tc>
          <w:tcPr>
            <w:tcW w:w="1426" w:type="dxa"/>
            <w:shd w:val="clear" w:color="auto" w:fill="auto"/>
            <w:vAlign w:val="center"/>
          </w:tcPr>
          <w:p w:rsidR="00C7046F" w:rsidRPr="00C7046F" w:rsidRDefault="00C7046F" w:rsidP="009F3985">
            <w:pPr>
              <w:pStyle w:val="TableText"/>
              <w:rPr>
                <w:rFonts w:cs="Arial"/>
                <w:bCs/>
                <w:iCs/>
              </w:rPr>
            </w:pPr>
          </w:p>
        </w:tc>
      </w:tr>
      <w:tr w:rsidR="00C7046F" w:rsidRPr="00C7046F" w:rsidTr="009F3985">
        <w:trPr>
          <w:trHeight w:val="567"/>
        </w:trPr>
        <w:tc>
          <w:tcPr>
            <w:tcW w:w="4914" w:type="dxa"/>
            <w:shd w:val="clear" w:color="auto" w:fill="auto"/>
            <w:vAlign w:val="center"/>
          </w:tcPr>
          <w:p w:rsidR="00C7046F" w:rsidRPr="00C7046F" w:rsidRDefault="00C7046F" w:rsidP="009F3985">
            <w:pPr>
              <w:pStyle w:val="TableText"/>
            </w:pPr>
            <w:r w:rsidRPr="00C7046F">
              <w:lastRenderedPageBreak/>
              <w:t xml:space="preserve">Incident management system </w:t>
            </w:r>
          </w:p>
        </w:tc>
        <w:tc>
          <w:tcPr>
            <w:tcW w:w="3402" w:type="dxa"/>
            <w:shd w:val="clear" w:color="auto" w:fill="auto"/>
            <w:vAlign w:val="center"/>
          </w:tcPr>
          <w:p w:rsidR="00C7046F" w:rsidRPr="009F3985" w:rsidRDefault="00C7046F" w:rsidP="009F3985">
            <w:pPr>
              <w:pStyle w:val="TableText"/>
              <w:rPr>
                <w:b/>
              </w:rPr>
            </w:pPr>
            <w:r w:rsidRPr="009F3985">
              <w:rPr>
                <w:b/>
              </w:rPr>
              <w:t>Statutory requirement</w:t>
            </w:r>
          </w:p>
        </w:tc>
        <w:tc>
          <w:tcPr>
            <w:tcW w:w="1426" w:type="dxa"/>
            <w:shd w:val="clear" w:color="auto" w:fill="auto"/>
            <w:vAlign w:val="center"/>
          </w:tcPr>
          <w:p w:rsidR="00C7046F" w:rsidRPr="00C7046F" w:rsidRDefault="00C7046F" w:rsidP="009F3985">
            <w:pPr>
              <w:pStyle w:val="TableText"/>
              <w:rPr>
                <w:rFonts w:cs="Arial"/>
                <w:bCs/>
                <w:iCs/>
              </w:rPr>
            </w:pPr>
          </w:p>
        </w:tc>
      </w:tr>
      <w:tr w:rsidR="00C7046F" w:rsidRPr="00C7046F" w:rsidTr="009F3985">
        <w:trPr>
          <w:trHeight w:val="567"/>
        </w:trPr>
        <w:tc>
          <w:tcPr>
            <w:tcW w:w="4914" w:type="dxa"/>
            <w:shd w:val="clear" w:color="auto" w:fill="auto"/>
            <w:vAlign w:val="center"/>
          </w:tcPr>
          <w:p w:rsidR="00C7046F" w:rsidRPr="00C7046F" w:rsidRDefault="00C7046F" w:rsidP="009F3985">
            <w:pPr>
              <w:pStyle w:val="TableText"/>
            </w:pPr>
            <w:r w:rsidRPr="00C7046F">
              <w:t xml:space="preserve">Policies and procedures regarding adverse event  reporting and management </w:t>
            </w:r>
          </w:p>
        </w:tc>
        <w:tc>
          <w:tcPr>
            <w:tcW w:w="3402" w:type="dxa"/>
            <w:shd w:val="clear" w:color="auto" w:fill="auto"/>
            <w:vAlign w:val="center"/>
          </w:tcPr>
          <w:p w:rsidR="00C7046F" w:rsidRPr="009F3985" w:rsidRDefault="00C7046F" w:rsidP="009F3985">
            <w:pPr>
              <w:pStyle w:val="TableText"/>
              <w:rPr>
                <w:b/>
              </w:rPr>
            </w:pPr>
            <w:r w:rsidRPr="009F3985">
              <w:rPr>
                <w:b/>
              </w:rPr>
              <w:t>Statutory requirement</w:t>
            </w:r>
          </w:p>
        </w:tc>
        <w:tc>
          <w:tcPr>
            <w:tcW w:w="1426" w:type="dxa"/>
            <w:shd w:val="clear" w:color="auto" w:fill="auto"/>
            <w:vAlign w:val="center"/>
          </w:tcPr>
          <w:p w:rsidR="00C7046F" w:rsidRPr="00C7046F" w:rsidRDefault="00C7046F" w:rsidP="009F3985">
            <w:pPr>
              <w:pStyle w:val="TableText"/>
              <w:rPr>
                <w:rFonts w:cs="Arial"/>
                <w:bCs/>
                <w:iCs/>
              </w:rPr>
            </w:pPr>
          </w:p>
        </w:tc>
      </w:tr>
      <w:tr w:rsidR="00C7046F" w:rsidRPr="00C7046F" w:rsidTr="009F3985">
        <w:trPr>
          <w:trHeight w:val="567"/>
        </w:trPr>
        <w:tc>
          <w:tcPr>
            <w:tcW w:w="4914" w:type="dxa"/>
            <w:shd w:val="clear" w:color="auto" w:fill="auto"/>
            <w:vAlign w:val="center"/>
          </w:tcPr>
          <w:p w:rsidR="00C7046F" w:rsidRPr="00C7046F" w:rsidRDefault="00C7046F" w:rsidP="009F3985">
            <w:pPr>
              <w:pStyle w:val="TableText"/>
            </w:pPr>
            <w:r w:rsidRPr="00C7046F">
              <w:t>Feedback and Complaints Management system supported by policy and processes</w:t>
            </w:r>
          </w:p>
        </w:tc>
        <w:tc>
          <w:tcPr>
            <w:tcW w:w="3402" w:type="dxa"/>
            <w:shd w:val="clear" w:color="auto" w:fill="auto"/>
            <w:vAlign w:val="center"/>
          </w:tcPr>
          <w:p w:rsidR="00C7046F" w:rsidRPr="00C7046F" w:rsidRDefault="00C7046F" w:rsidP="009F3985">
            <w:pPr>
              <w:pStyle w:val="TableText"/>
            </w:pPr>
            <w:r w:rsidRPr="009F3985">
              <w:rPr>
                <w:b/>
              </w:rPr>
              <w:t>Statutory requirement</w:t>
            </w:r>
            <w:r w:rsidRPr="00C7046F">
              <w:t xml:space="preserve"> (Regulations, Sch 1, Part 4, 4(1)(i))</w:t>
            </w:r>
          </w:p>
        </w:tc>
        <w:tc>
          <w:tcPr>
            <w:tcW w:w="1426" w:type="dxa"/>
            <w:shd w:val="clear" w:color="auto" w:fill="auto"/>
            <w:vAlign w:val="center"/>
          </w:tcPr>
          <w:p w:rsidR="00C7046F" w:rsidRPr="00C7046F" w:rsidRDefault="00C7046F" w:rsidP="009F3985">
            <w:pPr>
              <w:pStyle w:val="TableText"/>
              <w:rPr>
                <w:rFonts w:cs="Arial"/>
                <w:bCs/>
                <w:iCs/>
              </w:rPr>
            </w:pPr>
          </w:p>
        </w:tc>
      </w:tr>
      <w:tr w:rsidR="00C7046F" w:rsidRPr="00C7046F" w:rsidTr="009F3985">
        <w:trPr>
          <w:trHeight w:val="567"/>
        </w:trPr>
        <w:tc>
          <w:tcPr>
            <w:tcW w:w="4914" w:type="dxa"/>
            <w:shd w:val="clear" w:color="auto" w:fill="auto"/>
            <w:vAlign w:val="center"/>
          </w:tcPr>
          <w:p w:rsidR="00C7046F" w:rsidRPr="00C7046F" w:rsidRDefault="00C7046F" w:rsidP="009F3985">
            <w:pPr>
              <w:pStyle w:val="TableText"/>
            </w:pPr>
            <w:r w:rsidRPr="00C7046F">
              <w:t>Open disclosure process based on the national open disclosure standard, and clinical workforce training</w:t>
            </w:r>
          </w:p>
        </w:tc>
        <w:tc>
          <w:tcPr>
            <w:tcW w:w="3402" w:type="dxa"/>
            <w:shd w:val="clear" w:color="auto" w:fill="auto"/>
            <w:vAlign w:val="center"/>
          </w:tcPr>
          <w:p w:rsidR="00C7046F" w:rsidRPr="00C7046F" w:rsidRDefault="00C7046F" w:rsidP="009F3985">
            <w:pPr>
              <w:pStyle w:val="TableText"/>
            </w:pPr>
            <w:r w:rsidRPr="00C7046F">
              <w:t>Required for accreditation to Standard 1</w:t>
            </w:r>
          </w:p>
        </w:tc>
        <w:tc>
          <w:tcPr>
            <w:tcW w:w="1426" w:type="dxa"/>
            <w:shd w:val="clear" w:color="auto" w:fill="auto"/>
            <w:vAlign w:val="center"/>
          </w:tcPr>
          <w:p w:rsidR="00C7046F" w:rsidRPr="00C7046F" w:rsidRDefault="00C7046F" w:rsidP="009F3985">
            <w:pPr>
              <w:pStyle w:val="TableText"/>
              <w:rPr>
                <w:rFonts w:cs="Arial"/>
                <w:bCs/>
                <w:iCs/>
              </w:rPr>
            </w:pPr>
          </w:p>
        </w:tc>
      </w:tr>
      <w:tr w:rsidR="00C7046F" w:rsidRPr="009F3985" w:rsidTr="009F3985">
        <w:trPr>
          <w:trHeight w:val="567"/>
        </w:trPr>
        <w:tc>
          <w:tcPr>
            <w:tcW w:w="9742" w:type="dxa"/>
            <w:gridSpan w:val="3"/>
            <w:shd w:val="clear" w:color="auto" w:fill="auto"/>
            <w:vAlign w:val="center"/>
          </w:tcPr>
          <w:p w:rsidR="00C7046F" w:rsidRPr="009F3985" w:rsidRDefault="00C7046F" w:rsidP="009F3985">
            <w:pPr>
              <w:pStyle w:val="TableText"/>
              <w:rPr>
                <w:rFonts w:cs="Arial"/>
                <w:b/>
                <w:bCs/>
                <w:iCs/>
              </w:rPr>
            </w:pPr>
            <w:r w:rsidRPr="009F3985">
              <w:rPr>
                <w:rFonts w:cs="Arial"/>
                <w:b/>
                <w:bCs/>
                <w:iCs/>
              </w:rPr>
              <w:t>Patient Rights and Engagement</w:t>
            </w:r>
          </w:p>
        </w:tc>
      </w:tr>
      <w:tr w:rsidR="00C7046F" w:rsidRPr="00C7046F" w:rsidTr="009F3985">
        <w:trPr>
          <w:trHeight w:val="567"/>
        </w:trPr>
        <w:tc>
          <w:tcPr>
            <w:tcW w:w="4914" w:type="dxa"/>
            <w:shd w:val="clear" w:color="auto" w:fill="auto"/>
            <w:vAlign w:val="center"/>
          </w:tcPr>
          <w:p w:rsidR="00C7046F" w:rsidRPr="00C7046F" w:rsidRDefault="00C7046F" w:rsidP="009F3985">
            <w:pPr>
              <w:pStyle w:val="TableText"/>
            </w:pPr>
            <w:r w:rsidRPr="00C7046F">
              <w:t>Patient charter of rights policies and practices consistent with the current national charter of healthcare rights</w:t>
            </w:r>
          </w:p>
        </w:tc>
        <w:tc>
          <w:tcPr>
            <w:tcW w:w="3402" w:type="dxa"/>
            <w:shd w:val="clear" w:color="auto" w:fill="auto"/>
            <w:vAlign w:val="center"/>
          </w:tcPr>
          <w:p w:rsidR="00C7046F" w:rsidRPr="00C7046F" w:rsidRDefault="00C7046F" w:rsidP="009F3985">
            <w:pPr>
              <w:pStyle w:val="TableText"/>
            </w:pPr>
            <w:r w:rsidRPr="00C7046F">
              <w:t>Required for accreditation to Standard 1</w:t>
            </w:r>
          </w:p>
        </w:tc>
        <w:tc>
          <w:tcPr>
            <w:tcW w:w="1426" w:type="dxa"/>
            <w:shd w:val="clear" w:color="auto" w:fill="auto"/>
            <w:vAlign w:val="center"/>
          </w:tcPr>
          <w:p w:rsidR="00C7046F" w:rsidRPr="00C7046F" w:rsidRDefault="00C7046F" w:rsidP="009F3985">
            <w:pPr>
              <w:pStyle w:val="TableText"/>
              <w:rPr>
                <w:rFonts w:cs="Arial"/>
                <w:bCs/>
                <w:iCs/>
              </w:rPr>
            </w:pPr>
          </w:p>
        </w:tc>
      </w:tr>
    </w:tbl>
    <w:p w:rsidR="009F3985" w:rsidRDefault="009F3985" w:rsidP="00C7046F"/>
    <w:p w:rsidR="009F3985" w:rsidRDefault="009F3985">
      <w:pPr>
        <w:tabs>
          <w:tab w:val="clear" w:pos="567"/>
        </w:tabs>
        <w:spacing w:after="200" w:line="276" w:lineRule="auto"/>
      </w:pPr>
      <w:r>
        <w:br w:type="page"/>
      </w:r>
    </w:p>
    <w:p w:rsidR="009F3985" w:rsidRPr="005A51ED" w:rsidRDefault="009F3985" w:rsidP="009F3985">
      <w:pPr>
        <w:pStyle w:val="Heading2"/>
      </w:pPr>
      <w:r w:rsidRPr="005A51ED">
        <w:lastRenderedPageBreak/>
        <w:t>Appendix 2</w:t>
      </w:r>
    </w:p>
    <w:p w:rsidR="009F3985" w:rsidRPr="006D143B" w:rsidRDefault="009F3985" w:rsidP="009F3985">
      <w:r w:rsidRPr="006D143B">
        <w:t>Please complete this table indicating the policies, procedures, guidelines, protocols, checklists that the service will need to develop</w:t>
      </w:r>
      <w:r>
        <w:t xml:space="preserve"> and</w:t>
      </w:r>
      <w:r w:rsidRPr="006D143B">
        <w:t xml:space="preserve"> provide prior to the service commencing, and forward a</w:t>
      </w:r>
      <w:r>
        <w:t xml:space="preserve"> copy to the Regulation Unit. </w:t>
      </w:r>
      <w:r w:rsidRPr="006D143B">
        <w:t>Please add addition lines as necessary.</w:t>
      </w:r>
    </w:p>
    <w:tbl>
      <w:tblPr>
        <w:tblStyle w:val="TableGrid2"/>
        <w:tblW w:w="5000" w:type="pct"/>
        <w:tblLook w:val="04A0" w:firstRow="1" w:lastRow="0" w:firstColumn="1" w:lastColumn="0" w:noHBand="0" w:noVBand="1"/>
        <w:tblCaption w:val="Appendix 2"/>
        <w:tblDescription w:val="Appendix 2"/>
      </w:tblPr>
      <w:tblGrid>
        <w:gridCol w:w="6391"/>
        <w:gridCol w:w="1544"/>
        <w:gridCol w:w="1693"/>
      </w:tblGrid>
      <w:tr w:rsidR="009F3985" w:rsidRPr="009F3985" w:rsidTr="009F3985">
        <w:trPr>
          <w:trHeight w:val="454"/>
        </w:trPr>
        <w:tc>
          <w:tcPr>
            <w:tcW w:w="3319" w:type="pct"/>
            <w:shd w:val="clear" w:color="auto" w:fill="4F81BD" w:themeFill="accent1"/>
          </w:tcPr>
          <w:p w:rsidR="009F3985" w:rsidRPr="009F3985" w:rsidRDefault="009F3985" w:rsidP="009F3985">
            <w:pPr>
              <w:spacing w:before="120" w:after="120" w:line="240" w:lineRule="auto"/>
              <w:rPr>
                <w:rFonts w:eastAsia="Times New Roman" w:cs="Times New Roman"/>
                <w:b/>
                <w:color w:val="FFFFFF" w:themeColor="background1"/>
              </w:rPr>
            </w:pPr>
            <w:r w:rsidRPr="009F3985">
              <w:rPr>
                <w:rFonts w:eastAsia="Times New Roman" w:cs="Times New Roman"/>
                <w:b/>
                <w:color w:val="FFFFFF" w:themeColor="background1"/>
              </w:rPr>
              <w:t>Clinical Practice Policies</w:t>
            </w:r>
          </w:p>
        </w:tc>
        <w:tc>
          <w:tcPr>
            <w:tcW w:w="802" w:type="pct"/>
            <w:shd w:val="clear" w:color="auto" w:fill="4F81BD" w:themeFill="accent1"/>
          </w:tcPr>
          <w:p w:rsidR="009F3985" w:rsidRPr="009F3985" w:rsidRDefault="009F3985" w:rsidP="009F3985">
            <w:pPr>
              <w:spacing w:before="120" w:after="120" w:line="240" w:lineRule="auto"/>
              <w:jc w:val="center"/>
              <w:rPr>
                <w:rFonts w:eastAsia="Times New Roman" w:cs="Times New Roman"/>
                <w:b/>
                <w:color w:val="FFFFFF" w:themeColor="background1"/>
              </w:rPr>
            </w:pPr>
            <w:r w:rsidRPr="009F3985">
              <w:rPr>
                <w:rFonts w:eastAsia="Times New Roman" w:cs="Times New Roman"/>
                <w:b/>
                <w:color w:val="FFFFFF" w:themeColor="background1"/>
              </w:rPr>
              <w:t>To Draft</w:t>
            </w:r>
          </w:p>
        </w:tc>
        <w:tc>
          <w:tcPr>
            <w:tcW w:w="880" w:type="pct"/>
            <w:shd w:val="clear" w:color="auto" w:fill="4F81BD" w:themeFill="accent1"/>
          </w:tcPr>
          <w:p w:rsidR="009F3985" w:rsidRPr="009F3985" w:rsidRDefault="009F3985" w:rsidP="009F3985">
            <w:pPr>
              <w:spacing w:before="120" w:after="120" w:line="240" w:lineRule="auto"/>
              <w:jc w:val="center"/>
              <w:rPr>
                <w:rFonts w:eastAsia="Times New Roman" w:cs="Times New Roman"/>
                <w:b/>
                <w:color w:val="FFFFFF" w:themeColor="background1"/>
              </w:rPr>
            </w:pPr>
            <w:r w:rsidRPr="009F3985">
              <w:rPr>
                <w:rFonts w:eastAsia="Times New Roman" w:cs="Times New Roman"/>
                <w:b/>
                <w:color w:val="FFFFFF" w:themeColor="background1"/>
              </w:rPr>
              <w:t>Complete</w:t>
            </w:r>
          </w:p>
        </w:tc>
      </w:tr>
      <w:tr w:rsidR="009F3985" w:rsidRPr="009F3985" w:rsidTr="009F3985">
        <w:trPr>
          <w:trHeight w:val="454"/>
        </w:trPr>
        <w:tc>
          <w:tcPr>
            <w:tcW w:w="3319" w:type="pct"/>
          </w:tcPr>
          <w:p w:rsidR="009F3985" w:rsidRPr="009F3985" w:rsidRDefault="009F3985" w:rsidP="009F3985">
            <w:pPr>
              <w:pStyle w:val="TableText"/>
              <w:rPr>
                <w:i/>
              </w:rPr>
            </w:pPr>
            <w:r w:rsidRPr="009F3985">
              <w:rPr>
                <w:i/>
              </w:rPr>
              <w:t xml:space="preserve">ie: Patient transfer to higher level service – Communication Policy </w:t>
            </w:r>
          </w:p>
        </w:tc>
        <w:tc>
          <w:tcPr>
            <w:tcW w:w="802" w:type="pct"/>
          </w:tcPr>
          <w:p w:rsidR="009F3985" w:rsidRPr="009F3985" w:rsidRDefault="009F3985" w:rsidP="009F3985">
            <w:pPr>
              <w:pStyle w:val="TableText"/>
              <w:rPr>
                <w:i/>
              </w:rPr>
            </w:pPr>
          </w:p>
        </w:tc>
        <w:tc>
          <w:tcPr>
            <w:tcW w:w="880" w:type="pct"/>
          </w:tcPr>
          <w:p w:rsidR="009F3985" w:rsidRPr="009F3985" w:rsidRDefault="009F3985" w:rsidP="009F3985">
            <w:pPr>
              <w:pStyle w:val="TableText"/>
              <w:rPr>
                <w:i/>
              </w:rPr>
            </w:pPr>
          </w:p>
        </w:tc>
      </w:tr>
      <w:tr w:rsidR="009F3985" w:rsidRPr="009F3985" w:rsidTr="009F3985">
        <w:trPr>
          <w:trHeight w:val="454"/>
        </w:trPr>
        <w:tc>
          <w:tcPr>
            <w:tcW w:w="3319" w:type="pct"/>
          </w:tcPr>
          <w:p w:rsidR="009F3985" w:rsidRPr="009F3985" w:rsidRDefault="009F3985" w:rsidP="009F3985">
            <w:pPr>
              <w:pStyle w:val="TableText"/>
              <w:rPr>
                <w:i/>
              </w:rPr>
            </w:pPr>
          </w:p>
        </w:tc>
        <w:tc>
          <w:tcPr>
            <w:tcW w:w="802" w:type="pct"/>
          </w:tcPr>
          <w:p w:rsidR="009F3985" w:rsidRPr="009F3985" w:rsidRDefault="009F3985" w:rsidP="009F3985">
            <w:pPr>
              <w:pStyle w:val="TableText"/>
              <w:rPr>
                <w:i/>
              </w:rPr>
            </w:pPr>
          </w:p>
        </w:tc>
        <w:tc>
          <w:tcPr>
            <w:tcW w:w="880" w:type="pct"/>
          </w:tcPr>
          <w:p w:rsidR="009F3985" w:rsidRPr="009F3985" w:rsidRDefault="009F3985" w:rsidP="009F3985">
            <w:pPr>
              <w:pStyle w:val="TableText"/>
              <w:rPr>
                <w:i/>
              </w:rPr>
            </w:pPr>
          </w:p>
        </w:tc>
      </w:tr>
      <w:tr w:rsidR="009F3985" w:rsidRPr="009F3985" w:rsidTr="009F3985">
        <w:trPr>
          <w:trHeight w:val="454"/>
        </w:trPr>
        <w:tc>
          <w:tcPr>
            <w:tcW w:w="3319" w:type="pct"/>
          </w:tcPr>
          <w:p w:rsidR="009F3985" w:rsidRPr="009F3985" w:rsidRDefault="009F3985" w:rsidP="009F3985">
            <w:pPr>
              <w:pStyle w:val="TableText"/>
              <w:rPr>
                <w:i/>
              </w:rPr>
            </w:pPr>
          </w:p>
        </w:tc>
        <w:tc>
          <w:tcPr>
            <w:tcW w:w="802" w:type="pct"/>
          </w:tcPr>
          <w:p w:rsidR="009F3985" w:rsidRPr="009F3985" w:rsidRDefault="009F3985" w:rsidP="009F3985">
            <w:pPr>
              <w:pStyle w:val="TableText"/>
              <w:rPr>
                <w:i/>
              </w:rPr>
            </w:pPr>
          </w:p>
        </w:tc>
        <w:tc>
          <w:tcPr>
            <w:tcW w:w="880" w:type="pct"/>
          </w:tcPr>
          <w:p w:rsidR="009F3985" w:rsidRPr="009F3985" w:rsidRDefault="009F3985" w:rsidP="009F3985">
            <w:pPr>
              <w:pStyle w:val="TableText"/>
              <w:rPr>
                <w:i/>
              </w:rPr>
            </w:pPr>
          </w:p>
        </w:tc>
      </w:tr>
      <w:tr w:rsidR="009F3985" w:rsidRPr="009F3985" w:rsidTr="009F3985">
        <w:trPr>
          <w:trHeight w:val="454"/>
        </w:trPr>
        <w:tc>
          <w:tcPr>
            <w:tcW w:w="3319" w:type="pct"/>
          </w:tcPr>
          <w:p w:rsidR="009F3985" w:rsidRPr="009F3985" w:rsidRDefault="009F3985" w:rsidP="009F3985">
            <w:pPr>
              <w:pStyle w:val="TableText"/>
              <w:rPr>
                <w:i/>
              </w:rPr>
            </w:pPr>
          </w:p>
        </w:tc>
        <w:tc>
          <w:tcPr>
            <w:tcW w:w="802" w:type="pct"/>
          </w:tcPr>
          <w:p w:rsidR="009F3985" w:rsidRPr="009F3985" w:rsidRDefault="009F3985" w:rsidP="009F3985">
            <w:pPr>
              <w:pStyle w:val="TableText"/>
              <w:rPr>
                <w:i/>
              </w:rPr>
            </w:pPr>
          </w:p>
        </w:tc>
        <w:tc>
          <w:tcPr>
            <w:tcW w:w="880" w:type="pct"/>
          </w:tcPr>
          <w:p w:rsidR="009F3985" w:rsidRPr="009F3985" w:rsidRDefault="009F3985" w:rsidP="009F3985">
            <w:pPr>
              <w:pStyle w:val="TableText"/>
              <w:rPr>
                <w:i/>
              </w:rPr>
            </w:pPr>
          </w:p>
        </w:tc>
      </w:tr>
      <w:tr w:rsidR="009F3985" w:rsidRPr="009F3985" w:rsidTr="009F3985">
        <w:trPr>
          <w:trHeight w:val="454"/>
        </w:trPr>
        <w:tc>
          <w:tcPr>
            <w:tcW w:w="3319" w:type="pct"/>
            <w:shd w:val="clear" w:color="auto" w:fill="4F81BD" w:themeFill="accent1"/>
          </w:tcPr>
          <w:p w:rsidR="009F3985" w:rsidRPr="009F3985" w:rsidRDefault="009F3985" w:rsidP="009F3985">
            <w:pPr>
              <w:spacing w:before="120" w:after="120" w:line="240" w:lineRule="auto"/>
              <w:rPr>
                <w:rFonts w:eastAsia="Times New Roman" w:cs="Times New Roman"/>
                <w:b/>
                <w:color w:val="FFFFFF" w:themeColor="background1"/>
              </w:rPr>
            </w:pPr>
            <w:r w:rsidRPr="009F3985">
              <w:rPr>
                <w:rFonts w:eastAsia="Times New Roman" w:cs="Times New Roman"/>
                <w:b/>
                <w:color w:val="FFFFFF" w:themeColor="background1"/>
              </w:rPr>
              <w:t>Clinical Practice Procedures</w:t>
            </w:r>
          </w:p>
        </w:tc>
        <w:tc>
          <w:tcPr>
            <w:tcW w:w="802" w:type="pct"/>
            <w:shd w:val="clear" w:color="auto" w:fill="4F81BD" w:themeFill="accent1"/>
          </w:tcPr>
          <w:p w:rsidR="009F3985" w:rsidRPr="009F3985" w:rsidRDefault="009F3985" w:rsidP="009F3985">
            <w:pPr>
              <w:spacing w:before="120" w:after="120" w:line="240" w:lineRule="auto"/>
              <w:jc w:val="center"/>
              <w:rPr>
                <w:rFonts w:eastAsia="Times New Roman" w:cs="Times New Roman"/>
                <w:b/>
                <w:color w:val="FFFFFF" w:themeColor="background1"/>
              </w:rPr>
            </w:pPr>
            <w:r w:rsidRPr="009F3985">
              <w:rPr>
                <w:rFonts w:eastAsia="Times New Roman" w:cs="Times New Roman"/>
                <w:b/>
                <w:color w:val="FFFFFF" w:themeColor="background1"/>
              </w:rPr>
              <w:t>To Draft</w:t>
            </w:r>
          </w:p>
        </w:tc>
        <w:tc>
          <w:tcPr>
            <w:tcW w:w="880" w:type="pct"/>
            <w:shd w:val="clear" w:color="auto" w:fill="4F81BD" w:themeFill="accent1"/>
          </w:tcPr>
          <w:p w:rsidR="009F3985" w:rsidRPr="009F3985" w:rsidRDefault="009F3985" w:rsidP="009F3985">
            <w:pPr>
              <w:spacing w:before="120" w:after="120" w:line="240" w:lineRule="auto"/>
              <w:jc w:val="center"/>
              <w:rPr>
                <w:rFonts w:eastAsia="Times New Roman" w:cs="Times New Roman"/>
                <w:b/>
                <w:color w:val="FFFFFF" w:themeColor="background1"/>
              </w:rPr>
            </w:pPr>
            <w:r w:rsidRPr="009F3985">
              <w:rPr>
                <w:rFonts w:eastAsia="Times New Roman" w:cs="Times New Roman"/>
                <w:b/>
                <w:color w:val="FFFFFF" w:themeColor="background1"/>
              </w:rPr>
              <w:t>Complete</w:t>
            </w:r>
          </w:p>
        </w:tc>
      </w:tr>
      <w:tr w:rsidR="009F3985" w:rsidRPr="009F3985" w:rsidTr="009F3985">
        <w:trPr>
          <w:trHeight w:val="454"/>
        </w:trPr>
        <w:tc>
          <w:tcPr>
            <w:tcW w:w="3319" w:type="pct"/>
          </w:tcPr>
          <w:p w:rsidR="009F3985" w:rsidRPr="009F3985" w:rsidRDefault="009F3985" w:rsidP="009F3985">
            <w:pPr>
              <w:pStyle w:val="TableText"/>
              <w:rPr>
                <w:i/>
              </w:rPr>
            </w:pPr>
            <w:r w:rsidRPr="009F3985">
              <w:rPr>
                <w:i/>
              </w:rPr>
              <w:t>ie: Bone Marrow Biopsy – Patient preparation and equipment - Procedure</w:t>
            </w:r>
          </w:p>
        </w:tc>
        <w:tc>
          <w:tcPr>
            <w:tcW w:w="802" w:type="pct"/>
          </w:tcPr>
          <w:p w:rsidR="009F3985" w:rsidRPr="009F3985" w:rsidRDefault="009F3985" w:rsidP="009F3985">
            <w:pPr>
              <w:pStyle w:val="TableText"/>
              <w:rPr>
                <w:i/>
              </w:rPr>
            </w:pPr>
          </w:p>
        </w:tc>
        <w:tc>
          <w:tcPr>
            <w:tcW w:w="880" w:type="pct"/>
          </w:tcPr>
          <w:p w:rsidR="009F3985" w:rsidRPr="009F3985" w:rsidRDefault="009F3985" w:rsidP="009F3985">
            <w:pPr>
              <w:pStyle w:val="TableText"/>
              <w:rPr>
                <w:i/>
              </w:rPr>
            </w:pPr>
          </w:p>
        </w:tc>
      </w:tr>
      <w:tr w:rsidR="009F3985" w:rsidRPr="009F3985" w:rsidTr="009F3985">
        <w:trPr>
          <w:trHeight w:val="454"/>
        </w:trPr>
        <w:tc>
          <w:tcPr>
            <w:tcW w:w="3319" w:type="pct"/>
          </w:tcPr>
          <w:p w:rsidR="009F3985" w:rsidRPr="009F3985" w:rsidRDefault="009F3985" w:rsidP="009F3985">
            <w:pPr>
              <w:pStyle w:val="TableText"/>
              <w:rPr>
                <w:i/>
              </w:rPr>
            </w:pPr>
          </w:p>
        </w:tc>
        <w:tc>
          <w:tcPr>
            <w:tcW w:w="802" w:type="pct"/>
          </w:tcPr>
          <w:p w:rsidR="009F3985" w:rsidRPr="009F3985" w:rsidRDefault="009F3985" w:rsidP="009F3985">
            <w:pPr>
              <w:pStyle w:val="TableText"/>
              <w:rPr>
                <w:i/>
              </w:rPr>
            </w:pPr>
          </w:p>
        </w:tc>
        <w:tc>
          <w:tcPr>
            <w:tcW w:w="880" w:type="pct"/>
          </w:tcPr>
          <w:p w:rsidR="009F3985" w:rsidRPr="009F3985" w:rsidRDefault="009F3985" w:rsidP="009F3985">
            <w:pPr>
              <w:pStyle w:val="TableText"/>
              <w:rPr>
                <w:i/>
              </w:rPr>
            </w:pPr>
          </w:p>
        </w:tc>
      </w:tr>
      <w:tr w:rsidR="009F3985" w:rsidRPr="009F3985" w:rsidTr="009F3985">
        <w:trPr>
          <w:trHeight w:val="454"/>
        </w:trPr>
        <w:tc>
          <w:tcPr>
            <w:tcW w:w="3319" w:type="pct"/>
          </w:tcPr>
          <w:p w:rsidR="009F3985" w:rsidRPr="009F3985" w:rsidRDefault="009F3985" w:rsidP="009F3985">
            <w:pPr>
              <w:pStyle w:val="TableText"/>
              <w:rPr>
                <w:i/>
              </w:rPr>
            </w:pPr>
          </w:p>
        </w:tc>
        <w:tc>
          <w:tcPr>
            <w:tcW w:w="802" w:type="pct"/>
          </w:tcPr>
          <w:p w:rsidR="009F3985" w:rsidRPr="009F3985" w:rsidRDefault="009F3985" w:rsidP="009F3985">
            <w:pPr>
              <w:pStyle w:val="TableText"/>
              <w:rPr>
                <w:i/>
              </w:rPr>
            </w:pPr>
          </w:p>
        </w:tc>
        <w:tc>
          <w:tcPr>
            <w:tcW w:w="880" w:type="pct"/>
          </w:tcPr>
          <w:p w:rsidR="009F3985" w:rsidRPr="009F3985" w:rsidRDefault="009F3985" w:rsidP="009F3985">
            <w:pPr>
              <w:pStyle w:val="TableText"/>
              <w:rPr>
                <w:i/>
              </w:rPr>
            </w:pPr>
          </w:p>
        </w:tc>
      </w:tr>
      <w:tr w:rsidR="009F3985" w:rsidRPr="009F3985" w:rsidTr="009F3985">
        <w:trPr>
          <w:trHeight w:val="454"/>
        </w:trPr>
        <w:tc>
          <w:tcPr>
            <w:tcW w:w="3319" w:type="pct"/>
          </w:tcPr>
          <w:p w:rsidR="009F3985" w:rsidRPr="009F3985" w:rsidRDefault="009F3985" w:rsidP="009F3985">
            <w:pPr>
              <w:pStyle w:val="TableText"/>
              <w:rPr>
                <w:rFonts w:eastAsia="Times New Roman" w:cs="Times New Roman"/>
                <w:i/>
              </w:rPr>
            </w:pPr>
          </w:p>
        </w:tc>
        <w:tc>
          <w:tcPr>
            <w:tcW w:w="802" w:type="pct"/>
          </w:tcPr>
          <w:p w:rsidR="009F3985" w:rsidRPr="009F3985" w:rsidRDefault="009F3985" w:rsidP="009F3985">
            <w:pPr>
              <w:pStyle w:val="TableText"/>
              <w:rPr>
                <w:rFonts w:eastAsia="Times New Roman" w:cs="Times New Roman"/>
                <w:i/>
              </w:rPr>
            </w:pPr>
          </w:p>
        </w:tc>
        <w:tc>
          <w:tcPr>
            <w:tcW w:w="880" w:type="pct"/>
          </w:tcPr>
          <w:p w:rsidR="009F3985" w:rsidRPr="009F3985" w:rsidRDefault="009F3985" w:rsidP="009F3985">
            <w:pPr>
              <w:pStyle w:val="TableText"/>
              <w:rPr>
                <w:rFonts w:eastAsia="Times New Roman" w:cs="Times New Roman"/>
                <w:i/>
              </w:rPr>
            </w:pPr>
          </w:p>
        </w:tc>
      </w:tr>
      <w:tr w:rsidR="009F3985" w:rsidRPr="009F3985" w:rsidTr="009F3985">
        <w:trPr>
          <w:trHeight w:val="454"/>
        </w:trPr>
        <w:tc>
          <w:tcPr>
            <w:tcW w:w="3319" w:type="pct"/>
            <w:shd w:val="clear" w:color="auto" w:fill="4F81BD" w:themeFill="accent1"/>
          </w:tcPr>
          <w:p w:rsidR="009F3985" w:rsidRPr="009F3985" w:rsidRDefault="009F3985" w:rsidP="009F3985">
            <w:pPr>
              <w:spacing w:before="120" w:after="120" w:line="240" w:lineRule="auto"/>
              <w:rPr>
                <w:rFonts w:eastAsia="Times New Roman" w:cs="Times New Roman"/>
                <w:b/>
                <w:color w:val="FFFFFF" w:themeColor="background1"/>
              </w:rPr>
            </w:pPr>
            <w:r w:rsidRPr="009F3985">
              <w:rPr>
                <w:rFonts w:eastAsia="Times New Roman" w:cs="Times New Roman"/>
                <w:b/>
                <w:color w:val="FFFFFF" w:themeColor="background1"/>
              </w:rPr>
              <w:t>Clinical Practice Guidelines</w:t>
            </w:r>
          </w:p>
        </w:tc>
        <w:tc>
          <w:tcPr>
            <w:tcW w:w="802" w:type="pct"/>
            <w:shd w:val="clear" w:color="auto" w:fill="4F81BD" w:themeFill="accent1"/>
          </w:tcPr>
          <w:p w:rsidR="009F3985" w:rsidRPr="009F3985" w:rsidRDefault="009F3985" w:rsidP="009F3985">
            <w:pPr>
              <w:spacing w:before="120" w:after="120" w:line="240" w:lineRule="auto"/>
              <w:jc w:val="center"/>
              <w:rPr>
                <w:rFonts w:eastAsia="Times New Roman" w:cs="Times New Roman"/>
                <w:b/>
                <w:color w:val="FFFFFF" w:themeColor="background1"/>
              </w:rPr>
            </w:pPr>
            <w:r w:rsidRPr="009F3985">
              <w:rPr>
                <w:rFonts w:eastAsia="Times New Roman" w:cs="Times New Roman"/>
                <w:b/>
                <w:color w:val="FFFFFF" w:themeColor="background1"/>
              </w:rPr>
              <w:t>To Draft</w:t>
            </w:r>
          </w:p>
        </w:tc>
        <w:tc>
          <w:tcPr>
            <w:tcW w:w="880" w:type="pct"/>
            <w:shd w:val="clear" w:color="auto" w:fill="4F81BD" w:themeFill="accent1"/>
          </w:tcPr>
          <w:p w:rsidR="009F3985" w:rsidRPr="009F3985" w:rsidRDefault="009F3985" w:rsidP="009F3985">
            <w:pPr>
              <w:spacing w:before="120" w:after="120" w:line="240" w:lineRule="auto"/>
              <w:jc w:val="center"/>
              <w:rPr>
                <w:rFonts w:eastAsia="Times New Roman" w:cs="Times New Roman"/>
                <w:b/>
                <w:color w:val="FFFFFF" w:themeColor="background1"/>
              </w:rPr>
            </w:pPr>
            <w:r w:rsidRPr="009F3985">
              <w:rPr>
                <w:rFonts w:eastAsia="Times New Roman" w:cs="Times New Roman"/>
                <w:b/>
                <w:color w:val="FFFFFF" w:themeColor="background1"/>
              </w:rPr>
              <w:t>Complete</w:t>
            </w:r>
          </w:p>
        </w:tc>
      </w:tr>
      <w:tr w:rsidR="009F3985" w:rsidRPr="009F3985" w:rsidTr="009F3985">
        <w:trPr>
          <w:trHeight w:val="454"/>
        </w:trPr>
        <w:tc>
          <w:tcPr>
            <w:tcW w:w="3319" w:type="pct"/>
          </w:tcPr>
          <w:p w:rsidR="009F3985" w:rsidRPr="009F3985" w:rsidRDefault="009F3985" w:rsidP="009F3985">
            <w:pPr>
              <w:pStyle w:val="TableText"/>
              <w:rPr>
                <w:i/>
              </w:rPr>
            </w:pPr>
            <w:r>
              <w:rPr>
                <w:i/>
              </w:rPr>
              <w:t>ie:</w:t>
            </w:r>
            <w:r w:rsidRPr="009F3985">
              <w:rPr>
                <w:i/>
              </w:rPr>
              <w:t xml:space="preserve"> Guidelines for care of patient post xxx procedure</w:t>
            </w:r>
          </w:p>
        </w:tc>
        <w:tc>
          <w:tcPr>
            <w:tcW w:w="802" w:type="pct"/>
          </w:tcPr>
          <w:p w:rsidR="009F3985" w:rsidRPr="009F3985" w:rsidRDefault="009F3985" w:rsidP="009F3985">
            <w:pPr>
              <w:pStyle w:val="TableText"/>
              <w:rPr>
                <w:i/>
              </w:rPr>
            </w:pPr>
          </w:p>
        </w:tc>
        <w:tc>
          <w:tcPr>
            <w:tcW w:w="880" w:type="pct"/>
          </w:tcPr>
          <w:p w:rsidR="009F3985" w:rsidRPr="009F3985" w:rsidRDefault="009F3985" w:rsidP="009F3985">
            <w:pPr>
              <w:pStyle w:val="TableText"/>
              <w:rPr>
                <w:i/>
              </w:rPr>
            </w:pPr>
          </w:p>
        </w:tc>
      </w:tr>
      <w:tr w:rsidR="009F3985" w:rsidRPr="009F3985" w:rsidTr="009F3985">
        <w:trPr>
          <w:trHeight w:val="454"/>
        </w:trPr>
        <w:tc>
          <w:tcPr>
            <w:tcW w:w="3319" w:type="pct"/>
          </w:tcPr>
          <w:p w:rsidR="009F3985" w:rsidRPr="009F3985" w:rsidRDefault="009F3985" w:rsidP="009F3985">
            <w:pPr>
              <w:pStyle w:val="TableText"/>
              <w:rPr>
                <w:i/>
              </w:rPr>
            </w:pPr>
          </w:p>
        </w:tc>
        <w:tc>
          <w:tcPr>
            <w:tcW w:w="802" w:type="pct"/>
          </w:tcPr>
          <w:p w:rsidR="009F3985" w:rsidRPr="009F3985" w:rsidRDefault="009F3985" w:rsidP="009F3985">
            <w:pPr>
              <w:pStyle w:val="TableText"/>
              <w:rPr>
                <w:i/>
              </w:rPr>
            </w:pPr>
          </w:p>
        </w:tc>
        <w:tc>
          <w:tcPr>
            <w:tcW w:w="880" w:type="pct"/>
          </w:tcPr>
          <w:p w:rsidR="009F3985" w:rsidRPr="009F3985" w:rsidRDefault="009F3985" w:rsidP="009F3985">
            <w:pPr>
              <w:pStyle w:val="TableText"/>
              <w:rPr>
                <w:i/>
              </w:rPr>
            </w:pPr>
          </w:p>
        </w:tc>
      </w:tr>
      <w:tr w:rsidR="009F3985" w:rsidRPr="009F3985" w:rsidTr="009F3985">
        <w:trPr>
          <w:trHeight w:val="454"/>
        </w:trPr>
        <w:tc>
          <w:tcPr>
            <w:tcW w:w="3319" w:type="pct"/>
          </w:tcPr>
          <w:p w:rsidR="009F3985" w:rsidRPr="009F3985" w:rsidRDefault="009F3985" w:rsidP="009F3985">
            <w:pPr>
              <w:pStyle w:val="TableText"/>
              <w:rPr>
                <w:i/>
              </w:rPr>
            </w:pPr>
          </w:p>
        </w:tc>
        <w:tc>
          <w:tcPr>
            <w:tcW w:w="802" w:type="pct"/>
          </w:tcPr>
          <w:p w:rsidR="009F3985" w:rsidRPr="009F3985" w:rsidRDefault="009F3985" w:rsidP="009F3985">
            <w:pPr>
              <w:pStyle w:val="TableText"/>
              <w:rPr>
                <w:i/>
              </w:rPr>
            </w:pPr>
          </w:p>
        </w:tc>
        <w:tc>
          <w:tcPr>
            <w:tcW w:w="880" w:type="pct"/>
          </w:tcPr>
          <w:p w:rsidR="009F3985" w:rsidRPr="009F3985" w:rsidRDefault="009F3985" w:rsidP="009F3985">
            <w:pPr>
              <w:pStyle w:val="TableText"/>
              <w:rPr>
                <w:i/>
              </w:rPr>
            </w:pPr>
          </w:p>
        </w:tc>
      </w:tr>
      <w:tr w:rsidR="009F3985" w:rsidRPr="009F3985" w:rsidTr="009F3985">
        <w:trPr>
          <w:trHeight w:val="454"/>
        </w:trPr>
        <w:tc>
          <w:tcPr>
            <w:tcW w:w="3319" w:type="pct"/>
          </w:tcPr>
          <w:p w:rsidR="009F3985" w:rsidRPr="009F3985" w:rsidRDefault="009F3985" w:rsidP="009F3985">
            <w:pPr>
              <w:pStyle w:val="TableText"/>
              <w:rPr>
                <w:i/>
              </w:rPr>
            </w:pPr>
          </w:p>
        </w:tc>
        <w:tc>
          <w:tcPr>
            <w:tcW w:w="802" w:type="pct"/>
          </w:tcPr>
          <w:p w:rsidR="009F3985" w:rsidRPr="009F3985" w:rsidRDefault="009F3985" w:rsidP="009F3985">
            <w:pPr>
              <w:pStyle w:val="TableText"/>
              <w:rPr>
                <w:i/>
              </w:rPr>
            </w:pPr>
          </w:p>
        </w:tc>
        <w:tc>
          <w:tcPr>
            <w:tcW w:w="880" w:type="pct"/>
          </w:tcPr>
          <w:p w:rsidR="009F3985" w:rsidRPr="009F3985" w:rsidRDefault="009F3985" w:rsidP="009F3985">
            <w:pPr>
              <w:pStyle w:val="TableText"/>
              <w:rPr>
                <w:i/>
              </w:rPr>
            </w:pPr>
          </w:p>
        </w:tc>
      </w:tr>
      <w:tr w:rsidR="009F3985" w:rsidRPr="009F3985" w:rsidTr="009F3985">
        <w:trPr>
          <w:trHeight w:val="454"/>
        </w:trPr>
        <w:tc>
          <w:tcPr>
            <w:tcW w:w="3319" w:type="pct"/>
            <w:shd w:val="clear" w:color="auto" w:fill="4F81BD" w:themeFill="accent1"/>
          </w:tcPr>
          <w:p w:rsidR="009F3985" w:rsidRPr="009F3985" w:rsidRDefault="009F3985" w:rsidP="009F3985">
            <w:pPr>
              <w:spacing w:before="120" w:after="120" w:line="240" w:lineRule="auto"/>
              <w:rPr>
                <w:rFonts w:eastAsia="Times New Roman" w:cs="Times New Roman"/>
                <w:b/>
                <w:color w:val="FFFFFF" w:themeColor="background1"/>
              </w:rPr>
            </w:pPr>
            <w:r w:rsidRPr="009F3985">
              <w:rPr>
                <w:rFonts w:eastAsia="Times New Roman" w:cs="Times New Roman"/>
                <w:b/>
                <w:color w:val="FFFFFF" w:themeColor="background1"/>
              </w:rPr>
              <w:t>Clinical Practice Protocols</w:t>
            </w:r>
          </w:p>
        </w:tc>
        <w:tc>
          <w:tcPr>
            <w:tcW w:w="802" w:type="pct"/>
            <w:shd w:val="clear" w:color="auto" w:fill="4F81BD" w:themeFill="accent1"/>
          </w:tcPr>
          <w:p w:rsidR="009F3985" w:rsidRPr="009F3985" w:rsidRDefault="009F3985" w:rsidP="009F3985">
            <w:pPr>
              <w:spacing w:before="120" w:after="120" w:line="240" w:lineRule="auto"/>
              <w:jc w:val="center"/>
              <w:rPr>
                <w:rFonts w:eastAsia="Times New Roman" w:cs="Times New Roman"/>
                <w:b/>
                <w:color w:val="FFFFFF" w:themeColor="background1"/>
              </w:rPr>
            </w:pPr>
            <w:r w:rsidRPr="009F3985">
              <w:rPr>
                <w:rFonts w:eastAsia="Times New Roman" w:cs="Times New Roman"/>
                <w:b/>
                <w:color w:val="FFFFFF" w:themeColor="background1"/>
              </w:rPr>
              <w:t>To Draft</w:t>
            </w:r>
          </w:p>
        </w:tc>
        <w:tc>
          <w:tcPr>
            <w:tcW w:w="880" w:type="pct"/>
            <w:shd w:val="clear" w:color="auto" w:fill="4F81BD" w:themeFill="accent1"/>
          </w:tcPr>
          <w:p w:rsidR="009F3985" w:rsidRPr="009F3985" w:rsidRDefault="009F3985" w:rsidP="009F3985">
            <w:pPr>
              <w:spacing w:before="120" w:after="120" w:line="240" w:lineRule="auto"/>
              <w:jc w:val="center"/>
              <w:rPr>
                <w:rFonts w:eastAsia="Times New Roman" w:cs="Times New Roman"/>
                <w:b/>
                <w:color w:val="FFFFFF" w:themeColor="background1"/>
              </w:rPr>
            </w:pPr>
            <w:r w:rsidRPr="009F3985">
              <w:rPr>
                <w:rFonts w:eastAsia="Times New Roman" w:cs="Times New Roman"/>
                <w:b/>
                <w:color w:val="FFFFFF" w:themeColor="background1"/>
              </w:rPr>
              <w:t>Complete</w:t>
            </w:r>
          </w:p>
        </w:tc>
      </w:tr>
      <w:tr w:rsidR="009F3985" w:rsidRPr="009F3985" w:rsidTr="009F3985">
        <w:trPr>
          <w:trHeight w:val="454"/>
        </w:trPr>
        <w:tc>
          <w:tcPr>
            <w:tcW w:w="3319" w:type="pct"/>
          </w:tcPr>
          <w:p w:rsidR="009F3985" w:rsidRPr="009F3985" w:rsidRDefault="009F3985" w:rsidP="009F3985">
            <w:pPr>
              <w:pStyle w:val="TableText"/>
              <w:rPr>
                <w:i/>
              </w:rPr>
            </w:pPr>
            <w:r>
              <w:rPr>
                <w:i/>
              </w:rPr>
              <w:t>ie:</w:t>
            </w:r>
            <w:r w:rsidRPr="009F3985">
              <w:rPr>
                <w:i/>
              </w:rPr>
              <w:t>Provision of any standing orders</w:t>
            </w:r>
          </w:p>
        </w:tc>
        <w:tc>
          <w:tcPr>
            <w:tcW w:w="802" w:type="pct"/>
          </w:tcPr>
          <w:p w:rsidR="009F3985" w:rsidRPr="009F3985" w:rsidRDefault="009F3985" w:rsidP="009F3985">
            <w:pPr>
              <w:pStyle w:val="TableText"/>
              <w:rPr>
                <w:i/>
              </w:rPr>
            </w:pPr>
          </w:p>
        </w:tc>
        <w:tc>
          <w:tcPr>
            <w:tcW w:w="880" w:type="pct"/>
          </w:tcPr>
          <w:p w:rsidR="009F3985" w:rsidRPr="009F3985" w:rsidRDefault="009F3985" w:rsidP="009F3985">
            <w:pPr>
              <w:pStyle w:val="TableText"/>
              <w:rPr>
                <w:i/>
              </w:rPr>
            </w:pPr>
          </w:p>
        </w:tc>
      </w:tr>
      <w:tr w:rsidR="009F3985" w:rsidRPr="009F3985" w:rsidTr="009F3985">
        <w:trPr>
          <w:trHeight w:val="454"/>
        </w:trPr>
        <w:tc>
          <w:tcPr>
            <w:tcW w:w="3319" w:type="pct"/>
          </w:tcPr>
          <w:p w:rsidR="009F3985" w:rsidRPr="009F3985" w:rsidRDefault="009F3985" w:rsidP="009F3985">
            <w:pPr>
              <w:pStyle w:val="TableText"/>
              <w:rPr>
                <w:i/>
              </w:rPr>
            </w:pPr>
          </w:p>
        </w:tc>
        <w:tc>
          <w:tcPr>
            <w:tcW w:w="802" w:type="pct"/>
          </w:tcPr>
          <w:p w:rsidR="009F3985" w:rsidRPr="009F3985" w:rsidRDefault="009F3985" w:rsidP="009F3985">
            <w:pPr>
              <w:pStyle w:val="TableText"/>
              <w:rPr>
                <w:i/>
              </w:rPr>
            </w:pPr>
          </w:p>
        </w:tc>
        <w:tc>
          <w:tcPr>
            <w:tcW w:w="880" w:type="pct"/>
          </w:tcPr>
          <w:p w:rsidR="009F3985" w:rsidRPr="009F3985" w:rsidRDefault="009F3985" w:rsidP="009F3985">
            <w:pPr>
              <w:pStyle w:val="TableText"/>
              <w:rPr>
                <w:i/>
              </w:rPr>
            </w:pPr>
          </w:p>
        </w:tc>
      </w:tr>
      <w:tr w:rsidR="009F3985" w:rsidRPr="009F3985" w:rsidTr="009F3985">
        <w:trPr>
          <w:trHeight w:val="454"/>
        </w:trPr>
        <w:tc>
          <w:tcPr>
            <w:tcW w:w="3319" w:type="pct"/>
          </w:tcPr>
          <w:p w:rsidR="009F3985" w:rsidRPr="009F3985" w:rsidRDefault="009F3985" w:rsidP="009F3985">
            <w:pPr>
              <w:pStyle w:val="TableText"/>
              <w:rPr>
                <w:i/>
              </w:rPr>
            </w:pPr>
          </w:p>
        </w:tc>
        <w:tc>
          <w:tcPr>
            <w:tcW w:w="802" w:type="pct"/>
          </w:tcPr>
          <w:p w:rsidR="009F3985" w:rsidRPr="009F3985" w:rsidRDefault="009F3985" w:rsidP="009F3985">
            <w:pPr>
              <w:pStyle w:val="TableText"/>
              <w:rPr>
                <w:i/>
              </w:rPr>
            </w:pPr>
          </w:p>
        </w:tc>
        <w:tc>
          <w:tcPr>
            <w:tcW w:w="880" w:type="pct"/>
          </w:tcPr>
          <w:p w:rsidR="009F3985" w:rsidRPr="009F3985" w:rsidRDefault="009F3985" w:rsidP="009F3985">
            <w:pPr>
              <w:pStyle w:val="TableText"/>
              <w:rPr>
                <w:i/>
              </w:rPr>
            </w:pPr>
          </w:p>
        </w:tc>
      </w:tr>
      <w:tr w:rsidR="009F3985" w:rsidRPr="009F3985" w:rsidTr="009F3985">
        <w:trPr>
          <w:trHeight w:val="454"/>
        </w:trPr>
        <w:tc>
          <w:tcPr>
            <w:tcW w:w="3319" w:type="pct"/>
          </w:tcPr>
          <w:p w:rsidR="009F3985" w:rsidRPr="009F3985" w:rsidRDefault="009F3985" w:rsidP="009F3985">
            <w:pPr>
              <w:pStyle w:val="TableText"/>
              <w:rPr>
                <w:i/>
              </w:rPr>
            </w:pPr>
          </w:p>
        </w:tc>
        <w:tc>
          <w:tcPr>
            <w:tcW w:w="802" w:type="pct"/>
          </w:tcPr>
          <w:p w:rsidR="009F3985" w:rsidRPr="009F3985" w:rsidRDefault="009F3985" w:rsidP="009F3985">
            <w:pPr>
              <w:pStyle w:val="TableText"/>
              <w:rPr>
                <w:i/>
              </w:rPr>
            </w:pPr>
          </w:p>
        </w:tc>
        <w:tc>
          <w:tcPr>
            <w:tcW w:w="880" w:type="pct"/>
          </w:tcPr>
          <w:p w:rsidR="009F3985" w:rsidRPr="009F3985" w:rsidRDefault="009F3985" w:rsidP="009F3985">
            <w:pPr>
              <w:pStyle w:val="TableText"/>
              <w:rPr>
                <w:i/>
              </w:rPr>
            </w:pPr>
          </w:p>
        </w:tc>
      </w:tr>
      <w:tr w:rsidR="009F3985" w:rsidRPr="009F3985" w:rsidTr="009F3985">
        <w:trPr>
          <w:trHeight w:val="454"/>
        </w:trPr>
        <w:tc>
          <w:tcPr>
            <w:tcW w:w="3319" w:type="pct"/>
            <w:shd w:val="clear" w:color="auto" w:fill="4F81BD" w:themeFill="accent1"/>
          </w:tcPr>
          <w:p w:rsidR="009F3985" w:rsidRPr="009F3985" w:rsidRDefault="009F3985" w:rsidP="009F3985">
            <w:pPr>
              <w:spacing w:before="120" w:after="120" w:line="240" w:lineRule="auto"/>
              <w:rPr>
                <w:rFonts w:eastAsia="Times New Roman" w:cs="Times New Roman"/>
                <w:b/>
                <w:color w:val="FFFFFF" w:themeColor="background1"/>
              </w:rPr>
            </w:pPr>
            <w:r w:rsidRPr="009F3985">
              <w:rPr>
                <w:rFonts w:eastAsia="Times New Roman" w:cs="Times New Roman"/>
                <w:b/>
                <w:color w:val="FFFFFF" w:themeColor="background1"/>
              </w:rPr>
              <w:t xml:space="preserve">Clinical Practice Checklists  </w:t>
            </w:r>
          </w:p>
        </w:tc>
        <w:tc>
          <w:tcPr>
            <w:tcW w:w="802" w:type="pct"/>
            <w:shd w:val="clear" w:color="auto" w:fill="4F81BD" w:themeFill="accent1"/>
          </w:tcPr>
          <w:p w:rsidR="009F3985" w:rsidRPr="009F3985" w:rsidRDefault="009F3985" w:rsidP="009F3985">
            <w:pPr>
              <w:spacing w:before="120" w:after="120" w:line="240" w:lineRule="auto"/>
              <w:jc w:val="center"/>
              <w:rPr>
                <w:rFonts w:eastAsia="Times New Roman" w:cs="Times New Roman"/>
                <w:b/>
                <w:color w:val="FFFFFF" w:themeColor="background1"/>
              </w:rPr>
            </w:pPr>
            <w:r w:rsidRPr="009F3985">
              <w:rPr>
                <w:rFonts w:eastAsia="Times New Roman" w:cs="Times New Roman"/>
                <w:b/>
                <w:color w:val="FFFFFF" w:themeColor="background1"/>
              </w:rPr>
              <w:t>To Draft</w:t>
            </w:r>
          </w:p>
        </w:tc>
        <w:tc>
          <w:tcPr>
            <w:tcW w:w="880" w:type="pct"/>
            <w:shd w:val="clear" w:color="auto" w:fill="4F81BD" w:themeFill="accent1"/>
          </w:tcPr>
          <w:p w:rsidR="009F3985" w:rsidRPr="009F3985" w:rsidRDefault="009F3985" w:rsidP="009F3985">
            <w:pPr>
              <w:spacing w:before="120" w:after="120" w:line="240" w:lineRule="auto"/>
              <w:jc w:val="center"/>
              <w:rPr>
                <w:rFonts w:eastAsia="Times New Roman" w:cs="Times New Roman"/>
                <w:b/>
                <w:color w:val="FFFFFF" w:themeColor="background1"/>
              </w:rPr>
            </w:pPr>
            <w:r w:rsidRPr="009F3985">
              <w:rPr>
                <w:rFonts w:eastAsia="Times New Roman" w:cs="Times New Roman"/>
                <w:b/>
                <w:color w:val="FFFFFF" w:themeColor="background1"/>
              </w:rPr>
              <w:t>Complete</w:t>
            </w:r>
          </w:p>
        </w:tc>
      </w:tr>
      <w:tr w:rsidR="009F3985" w:rsidRPr="009F3985" w:rsidTr="009F3985">
        <w:trPr>
          <w:trHeight w:val="454"/>
        </w:trPr>
        <w:tc>
          <w:tcPr>
            <w:tcW w:w="3319" w:type="pct"/>
          </w:tcPr>
          <w:p w:rsidR="009F3985" w:rsidRPr="009F3985" w:rsidRDefault="009F3985" w:rsidP="009F3985">
            <w:pPr>
              <w:pStyle w:val="TableText"/>
              <w:rPr>
                <w:i/>
              </w:rPr>
            </w:pPr>
            <w:r>
              <w:rPr>
                <w:i/>
              </w:rPr>
              <w:t xml:space="preserve">ie: </w:t>
            </w:r>
            <w:r w:rsidRPr="009F3985">
              <w:rPr>
                <w:i/>
              </w:rPr>
              <w:t xml:space="preserve">Emergency Trolley checklist </w:t>
            </w:r>
          </w:p>
        </w:tc>
        <w:tc>
          <w:tcPr>
            <w:tcW w:w="802" w:type="pct"/>
          </w:tcPr>
          <w:p w:rsidR="009F3985" w:rsidRPr="009F3985" w:rsidRDefault="009F3985" w:rsidP="009F3985">
            <w:pPr>
              <w:pStyle w:val="TableText"/>
              <w:rPr>
                <w:i/>
              </w:rPr>
            </w:pPr>
          </w:p>
        </w:tc>
        <w:tc>
          <w:tcPr>
            <w:tcW w:w="880" w:type="pct"/>
          </w:tcPr>
          <w:p w:rsidR="009F3985" w:rsidRPr="009F3985" w:rsidRDefault="009F3985" w:rsidP="009F3985">
            <w:pPr>
              <w:pStyle w:val="TableText"/>
              <w:rPr>
                <w:i/>
              </w:rPr>
            </w:pPr>
          </w:p>
        </w:tc>
      </w:tr>
      <w:tr w:rsidR="009F3985" w:rsidRPr="009F3985" w:rsidTr="009F3985">
        <w:trPr>
          <w:trHeight w:val="454"/>
        </w:trPr>
        <w:tc>
          <w:tcPr>
            <w:tcW w:w="3319" w:type="pct"/>
          </w:tcPr>
          <w:p w:rsidR="009F3985" w:rsidRPr="009F3985" w:rsidRDefault="009F3985" w:rsidP="009F3985">
            <w:pPr>
              <w:pStyle w:val="TableText"/>
              <w:rPr>
                <w:i/>
              </w:rPr>
            </w:pPr>
          </w:p>
        </w:tc>
        <w:tc>
          <w:tcPr>
            <w:tcW w:w="802" w:type="pct"/>
          </w:tcPr>
          <w:p w:rsidR="009F3985" w:rsidRPr="009F3985" w:rsidRDefault="009F3985" w:rsidP="009F3985">
            <w:pPr>
              <w:pStyle w:val="TableText"/>
              <w:rPr>
                <w:i/>
              </w:rPr>
            </w:pPr>
          </w:p>
        </w:tc>
        <w:tc>
          <w:tcPr>
            <w:tcW w:w="880" w:type="pct"/>
          </w:tcPr>
          <w:p w:rsidR="009F3985" w:rsidRPr="009F3985" w:rsidRDefault="009F3985" w:rsidP="009F3985">
            <w:pPr>
              <w:pStyle w:val="TableText"/>
              <w:rPr>
                <w:i/>
              </w:rPr>
            </w:pPr>
          </w:p>
        </w:tc>
      </w:tr>
      <w:tr w:rsidR="009F3985" w:rsidRPr="009F3985" w:rsidTr="009F3985">
        <w:trPr>
          <w:trHeight w:val="454"/>
        </w:trPr>
        <w:tc>
          <w:tcPr>
            <w:tcW w:w="3319" w:type="pct"/>
          </w:tcPr>
          <w:p w:rsidR="009F3985" w:rsidRPr="009F3985" w:rsidRDefault="009F3985" w:rsidP="009F3985">
            <w:pPr>
              <w:pStyle w:val="TableText"/>
              <w:rPr>
                <w:i/>
              </w:rPr>
            </w:pPr>
          </w:p>
        </w:tc>
        <w:tc>
          <w:tcPr>
            <w:tcW w:w="802" w:type="pct"/>
          </w:tcPr>
          <w:p w:rsidR="009F3985" w:rsidRPr="009F3985" w:rsidRDefault="009F3985" w:rsidP="009F3985">
            <w:pPr>
              <w:pStyle w:val="TableText"/>
              <w:rPr>
                <w:i/>
              </w:rPr>
            </w:pPr>
          </w:p>
        </w:tc>
        <w:tc>
          <w:tcPr>
            <w:tcW w:w="880" w:type="pct"/>
          </w:tcPr>
          <w:p w:rsidR="009F3985" w:rsidRPr="009F3985" w:rsidRDefault="009F3985" w:rsidP="009F3985">
            <w:pPr>
              <w:pStyle w:val="TableText"/>
              <w:rPr>
                <w:i/>
              </w:rPr>
            </w:pPr>
          </w:p>
        </w:tc>
      </w:tr>
      <w:tr w:rsidR="009F3985" w:rsidRPr="009F3985" w:rsidTr="009F3985">
        <w:trPr>
          <w:trHeight w:val="454"/>
        </w:trPr>
        <w:tc>
          <w:tcPr>
            <w:tcW w:w="3319" w:type="pct"/>
          </w:tcPr>
          <w:p w:rsidR="009F3985" w:rsidRPr="009F3985" w:rsidRDefault="009F3985" w:rsidP="009F3985">
            <w:pPr>
              <w:pStyle w:val="TableText"/>
              <w:rPr>
                <w:i/>
              </w:rPr>
            </w:pPr>
          </w:p>
        </w:tc>
        <w:tc>
          <w:tcPr>
            <w:tcW w:w="802" w:type="pct"/>
          </w:tcPr>
          <w:p w:rsidR="009F3985" w:rsidRPr="009F3985" w:rsidRDefault="009F3985" w:rsidP="009F3985">
            <w:pPr>
              <w:pStyle w:val="TableText"/>
              <w:rPr>
                <w:i/>
              </w:rPr>
            </w:pPr>
          </w:p>
        </w:tc>
        <w:tc>
          <w:tcPr>
            <w:tcW w:w="880" w:type="pct"/>
          </w:tcPr>
          <w:p w:rsidR="009F3985" w:rsidRPr="009F3985" w:rsidRDefault="009F3985" w:rsidP="009F3985">
            <w:pPr>
              <w:pStyle w:val="TableText"/>
              <w:rPr>
                <w:i/>
              </w:rPr>
            </w:pPr>
          </w:p>
        </w:tc>
      </w:tr>
    </w:tbl>
    <w:p w:rsidR="005C540D" w:rsidRDefault="005C540D" w:rsidP="00D945C3">
      <w:pPr>
        <w:jc w:val="both"/>
      </w:pPr>
    </w:p>
    <w:sectPr w:rsidR="005C540D" w:rsidSect="002D5988">
      <w:headerReference w:type="default" r:id="rId8"/>
      <w:footerReference w:type="default" r:id="rId9"/>
      <w:pgSz w:w="11906" w:h="16838" w:code="9"/>
      <w:pgMar w:top="737" w:right="1134" w:bottom="90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39E" w:rsidRDefault="00A0639E" w:rsidP="00B7274D">
      <w:pPr>
        <w:spacing w:after="0" w:line="240" w:lineRule="auto"/>
      </w:pPr>
      <w:r>
        <w:separator/>
      </w:r>
    </w:p>
  </w:endnote>
  <w:endnote w:type="continuationSeparator" w:id="0">
    <w:p w:rsidR="00A0639E" w:rsidRDefault="00A0639E" w:rsidP="00B7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EA2" w:rsidRPr="002D5988" w:rsidRDefault="008370E5" w:rsidP="00556390">
    <w:pPr>
      <w:pStyle w:val="TableText"/>
      <w:ind w:right="-427" w:hanging="567"/>
    </w:pPr>
    <w:r w:rsidRPr="002D5988">
      <w:rPr>
        <w:noProof/>
        <w:lang w:eastAsia="en-AU"/>
      </w:rPr>
      <w:drawing>
        <wp:anchor distT="0" distB="0" distL="114300" distR="114300" simplePos="0" relativeHeight="251658240" behindDoc="1" locked="0" layoutInCell="1" allowOverlap="1">
          <wp:simplePos x="0" y="0"/>
          <wp:positionH relativeFrom="column">
            <wp:posOffset>4737735</wp:posOffset>
          </wp:positionH>
          <wp:positionV relativeFrom="paragraph">
            <wp:posOffset>-251460</wp:posOffset>
          </wp:positionV>
          <wp:extent cx="1742400" cy="633600"/>
          <wp:effectExtent l="0" t="0" r="0" b="0"/>
          <wp:wrapNone/>
          <wp:docPr id="1" name="Picture 1" descr="Tasmanian Government Logo"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633600"/>
                  </a:xfrm>
                  <a:prstGeom prst="rect">
                    <a:avLst/>
                  </a:prstGeom>
                  <a:noFill/>
                </pic:spPr>
              </pic:pic>
            </a:graphicData>
          </a:graphic>
          <wp14:sizeRelH relativeFrom="margin">
            <wp14:pctWidth>0</wp14:pctWidth>
          </wp14:sizeRelH>
          <wp14:sizeRelV relativeFrom="margin">
            <wp14:pctHeight>0</wp14:pctHeight>
          </wp14:sizeRelV>
        </wp:anchor>
      </w:drawing>
    </w:r>
    <w:r w:rsidR="009C0EA2" w:rsidRPr="002D5988">
      <w:t xml:space="preserve">Department of Health </w:t>
    </w:r>
  </w:p>
  <w:p w:rsidR="009C0EA2" w:rsidRPr="002D5988" w:rsidRDefault="00422D9F" w:rsidP="00556390">
    <w:pPr>
      <w:pStyle w:val="TableText"/>
      <w:ind w:right="-427" w:hanging="567"/>
    </w:pPr>
    <w:r w:rsidRPr="002D5988">
      <w:t>Regulation Unit</w:t>
    </w:r>
    <w:r w:rsidR="002D5988">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39E" w:rsidRDefault="00A0639E" w:rsidP="00B7274D">
      <w:pPr>
        <w:spacing w:after="0" w:line="240" w:lineRule="auto"/>
      </w:pPr>
      <w:r>
        <w:separator/>
      </w:r>
    </w:p>
  </w:footnote>
  <w:footnote w:type="continuationSeparator" w:id="0">
    <w:p w:rsidR="00A0639E" w:rsidRDefault="00A0639E" w:rsidP="00B72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74D" w:rsidRPr="005C540D" w:rsidRDefault="00B7274D" w:rsidP="006116B7">
    <w:pPr>
      <w:pStyle w:val="Header"/>
      <w:jc w:val="right"/>
      <w:rPr>
        <w:b/>
        <w:color w:val="FFFFFF" w:themeColor="background1"/>
      </w:rPr>
    </w:pPr>
    <w:r w:rsidRPr="005C540D">
      <w:rPr>
        <w:b/>
        <w:noProof/>
        <w:color w:val="FFFFFF" w:themeColor="background1"/>
        <w:lang w:eastAsia="en-AU"/>
      </w:rPr>
      <w:drawing>
        <wp:anchor distT="0" distB="0" distL="114300" distR="114300" simplePos="0" relativeHeight="251657216" behindDoc="1" locked="0" layoutInCell="1" allowOverlap="1" wp14:anchorId="33041101" wp14:editId="3E0D1899">
          <wp:simplePos x="0" y="0"/>
          <wp:positionH relativeFrom="page">
            <wp:posOffset>-14631</wp:posOffset>
          </wp:positionH>
          <wp:positionV relativeFrom="page">
            <wp:posOffset>-28490</wp:posOffset>
          </wp:positionV>
          <wp:extent cx="7593177" cy="4928894"/>
          <wp:effectExtent l="0" t="0" r="8255" b="5080"/>
          <wp:wrapNone/>
          <wp:docPr id="26" name="Picture 11" descr="Decorative Lines" title="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eport_Series2_blue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962" cy="4930702"/>
                  </a:xfrm>
                  <a:prstGeom prst="rect">
                    <a:avLst/>
                  </a:prstGeom>
                  <a:noFill/>
                  <a:ln>
                    <a:noFill/>
                  </a:ln>
                </pic:spPr>
              </pic:pic>
            </a:graphicData>
          </a:graphic>
          <wp14:sizeRelH relativeFrom="page">
            <wp14:pctWidth>0</wp14:pctWidth>
          </wp14:sizeRelH>
          <wp14:sizeRelV relativeFrom="page">
            <wp14:pctHeight>0</wp14:pctHeight>
          </wp14:sizeRelV>
        </wp:anchor>
      </w:drawing>
    </w:r>
    <w:r w:rsidR="00C7046F">
      <w:rPr>
        <w:b/>
        <w:color w:val="FFFFFF" w:themeColor="background1"/>
      </w:rPr>
      <w:t>Form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94E"/>
    <w:multiLevelType w:val="multilevel"/>
    <w:tmpl w:val="8D045C4C"/>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D617DA4"/>
    <w:multiLevelType w:val="hybridMultilevel"/>
    <w:tmpl w:val="96E07A72"/>
    <w:lvl w:ilvl="0" w:tplc="4F0E653E">
      <w:start w:val="1"/>
      <w:numFmt w:val="bullet"/>
      <w:lvlText w:val="-"/>
      <w:lvlJc w:val="left"/>
      <w:pPr>
        <w:ind w:left="720" w:hanging="360"/>
      </w:pPr>
      <w:rPr>
        <w:rFonts w:ascii="Gill Sans MT" w:eastAsia="Times New Roman" w:hAnsi="Gill Sans M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883AFC"/>
    <w:multiLevelType w:val="hybridMultilevel"/>
    <w:tmpl w:val="55E6D6F2"/>
    <w:lvl w:ilvl="0" w:tplc="1932E04A">
      <w:start w:val="1"/>
      <w:numFmt w:val="decimal"/>
      <w:lvlText w:val="%1"/>
      <w:lvlJc w:val="left"/>
      <w:pPr>
        <w:ind w:left="720" w:hanging="360"/>
      </w:pPr>
      <w:rPr>
        <w:rFonts w:hint="default"/>
      </w:rPr>
    </w:lvl>
    <w:lvl w:ilvl="1" w:tplc="392846C8">
      <w:start w:val="1"/>
      <w:numFmt w:val="lowerLetter"/>
      <w:lvlText w:val="%2"/>
      <w:lvlJc w:val="left"/>
      <w:pPr>
        <w:ind w:left="1440" w:hanging="360"/>
      </w:pPr>
      <w:rPr>
        <w:rFonts w:hint="default"/>
      </w:rPr>
    </w:lvl>
    <w:lvl w:ilvl="2" w:tplc="6218BDD0">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282D13"/>
    <w:multiLevelType w:val="hybridMultilevel"/>
    <w:tmpl w:val="BC5A3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49646A"/>
    <w:multiLevelType w:val="hybridMultilevel"/>
    <w:tmpl w:val="004824CC"/>
    <w:lvl w:ilvl="0" w:tplc="55505554">
      <w:start w:val="1228"/>
      <w:numFmt w:val="bullet"/>
      <w:lvlText w:val="-"/>
      <w:lvlJc w:val="left"/>
      <w:pPr>
        <w:ind w:left="1494" w:hanging="360"/>
      </w:pPr>
      <w:rPr>
        <w:rFonts w:ascii="Gill Sans MT" w:eastAsia="Times New Roman" w:hAnsi="Gill Sans MT" w:cs="Times New Roman"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5" w15:restartNumberingAfterBreak="0">
    <w:nsid w:val="2A1D4A34"/>
    <w:multiLevelType w:val="hybridMultilevel"/>
    <w:tmpl w:val="C30E977E"/>
    <w:lvl w:ilvl="0" w:tplc="16DEAFFC">
      <w:start w:val="1"/>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A455C"/>
    <w:multiLevelType w:val="multilevel"/>
    <w:tmpl w:val="D9D6A62C"/>
    <w:styleLink w:val="NumberedListDoH"/>
    <w:lvl w:ilvl="0">
      <w:start w:val="1"/>
      <w:numFmt w:val="decimal"/>
      <w:lvlText w:val="%1"/>
      <w:lvlJc w:val="left"/>
      <w:pPr>
        <w:ind w:left="567" w:hanging="567"/>
      </w:pPr>
      <w:rPr>
        <w:rFonts w:ascii="Gill Sans MT" w:hAnsi="Gill Sans MT" w:hint="default"/>
        <w:sz w:val="22"/>
      </w:rPr>
    </w:lvl>
    <w:lvl w:ilvl="1">
      <w:start w:val="1"/>
      <w:numFmt w:val="decimal"/>
      <w:lvlText w:val="%2.%1"/>
      <w:lvlJc w:val="left"/>
      <w:pPr>
        <w:ind w:left="1134" w:hanging="567"/>
      </w:pPr>
      <w:rPr>
        <w:rFonts w:ascii="Gill Sans MT" w:hAnsi="Gill Sans MT" w:hint="default"/>
      </w:rPr>
    </w:lvl>
    <w:lvl w:ilvl="2">
      <w:start w:val="1"/>
      <w:numFmt w:val="decimal"/>
      <w:lvlText w:val="%3.%1.%2"/>
      <w:lvlJc w:val="left"/>
      <w:pPr>
        <w:ind w:left="1701" w:hanging="567"/>
      </w:pPr>
      <w:rPr>
        <w:rFonts w:ascii="Gill Sans MT" w:hAnsi="Gill Sans MT" w:hint="default"/>
      </w:rPr>
    </w:lvl>
    <w:lvl w:ilvl="3">
      <w:start w:val="1"/>
      <w:numFmt w:val="decimal"/>
      <w:lvlText w:val="%1.%2.%3.%4"/>
      <w:lvlJc w:val="left"/>
      <w:pPr>
        <w:ind w:left="2268" w:hanging="567"/>
      </w:pPr>
      <w:rPr>
        <w:rFonts w:ascii="Gill Sans MT" w:hAnsi="Gill Sans MT" w:hint="default"/>
      </w:rPr>
    </w:lvl>
    <w:lvl w:ilvl="4">
      <w:start w:val="1"/>
      <w:numFmt w:val="decimal"/>
      <w:lvlText w:val="%5.%1.%2.%3.%4"/>
      <w:lvlJc w:val="left"/>
      <w:pPr>
        <w:ind w:left="2835" w:hanging="567"/>
      </w:pPr>
      <w:rPr>
        <w:rFonts w:ascii="Gill Sans MT" w:hAnsi="Gill Sans MT" w:hint="default"/>
      </w:rPr>
    </w:lvl>
    <w:lvl w:ilvl="5">
      <w:start w:val="1"/>
      <w:numFmt w:val="decimal"/>
      <w:lvlText w:val="%1.%2.%3.%5.%4.%6"/>
      <w:lvlJc w:val="left"/>
      <w:pPr>
        <w:ind w:left="3402" w:hanging="567"/>
      </w:pPr>
      <w:rPr>
        <w:rFonts w:ascii="Gill Sans MT" w:hAnsi="Gill Sans MT" w:hint="default"/>
      </w:rPr>
    </w:lvl>
    <w:lvl w:ilvl="6">
      <w:start w:val="1"/>
      <w:numFmt w:val="decimal"/>
      <w:lvlText w:val="%1.%2.%3.%4.%5.%6.%7"/>
      <w:lvlJc w:val="left"/>
      <w:pPr>
        <w:ind w:left="3969" w:hanging="567"/>
      </w:pPr>
      <w:rPr>
        <w:rFonts w:ascii="Gill Sans MT" w:hAnsi="Gill Sans MT" w:hint="default"/>
      </w:rPr>
    </w:lvl>
    <w:lvl w:ilvl="7">
      <w:start w:val="1"/>
      <w:numFmt w:val="decimal"/>
      <w:lvlText w:val="%1.%2.%3.%4.%5.%6.%7.%8"/>
      <w:lvlJc w:val="left"/>
      <w:pPr>
        <w:ind w:left="4536" w:hanging="567"/>
      </w:pPr>
      <w:rPr>
        <w:rFonts w:ascii="Gill Sans MT" w:hAnsi="Gill Sans MT" w:hint="default"/>
      </w:rPr>
    </w:lvl>
    <w:lvl w:ilvl="8">
      <w:start w:val="1"/>
      <w:numFmt w:val="decimal"/>
      <w:lvlText w:val="%1.%2.%3.%5.%4.%6.%7.%8.%9"/>
      <w:lvlJc w:val="left"/>
      <w:pPr>
        <w:ind w:left="5103" w:hanging="567"/>
      </w:pPr>
      <w:rPr>
        <w:rFonts w:ascii="Gill Sans MT" w:hAnsi="Gill Sans MT" w:hint="default"/>
      </w:rPr>
    </w:lvl>
  </w:abstractNum>
  <w:abstractNum w:abstractNumId="7" w15:restartNumberingAfterBreak="0">
    <w:nsid w:val="38F85442"/>
    <w:multiLevelType w:val="multilevel"/>
    <w:tmpl w:val="90046A1E"/>
    <w:lvl w:ilvl="0">
      <w:start w:val="1"/>
      <w:numFmt w:val="bullet"/>
      <w:pStyle w:val="BulletedListLevel1"/>
      <w:lvlText w:val=""/>
      <w:lvlJc w:val="left"/>
      <w:pPr>
        <w:ind w:left="567" w:hanging="567"/>
      </w:pPr>
      <w:rPr>
        <w:rFonts w:ascii="Symbol" w:hAnsi="Symbol" w:hint="default"/>
        <w:sz w:val="22"/>
      </w:rPr>
    </w:lvl>
    <w:lvl w:ilvl="1">
      <w:start w:val="1"/>
      <w:numFmt w:val="bullet"/>
      <w:lvlRestart w:val="0"/>
      <w:pStyle w:val="BulletedListLevel2"/>
      <w:lvlText w:val="o"/>
      <w:lvlJc w:val="left"/>
      <w:pPr>
        <w:ind w:left="1134" w:hanging="567"/>
      </w:pPr>
      <w:rPr>
        <w:rFonts w:ascii="Courier New" w:hAnsi="Courier New" w:hint="default"/>
      </w:rPr>
    </w:lvl>
    <w:lvl w:ilvl="2">
      <w:start w:val="1"/>
      <w:numFmt w:val="bullet"/>
      <w:lvlRestart w:val="0"/>
      <w:pStyle w:val="BulletedListLevel3"/>
      <w:lvlText w:val=""/>
      <w:lvlJc w:val="left"/>
      <w:pPr>
        <w:ind w:left="1701" w:hanging="567"/>
      </w:pPr>
      <w:rPr>
        <w:rFonts w:ascii="Symbol" w:hAnsi="Symbol" w:hint="default"/>
      </w:rPr>
    </w:lvl>
    <w:lvl w:ilvl="3">
      <w:start w:val="1"/>
      <w:numFmt w:val="bullet"/>
      <w:lvlRestart w:val="0"/>
      <w:lvlText w:val=""/>
      <w:lvlJc w:val="left"/>
      <w:pPr>
        <w:ind w:left="2268" w:hanging="567"/>
      </w:pPr>
      <w:rPr>
        <w:rFonts w:ascii="Symbol" w:hAnsi="Symbol" w:hint="default"/>
      </w:rPr>
    </w:lvl>
    <w:lvl w:ilvl="4">
      <w:start w:val="1"/>
      <w:numFmt w:val="bullet"/>
      <w:lvlRestart w:val="0"/>
      <w:lvlText w:val="o"/>
      <w:lvlJc w:val="left"/>
      <w:pPr>
        <w:ind w:left="2835" w:hanging="567"/>
      </w:pPr>
      <w:rPr>
        <w:rFonts w:ascii="Courier New" w:hAnsi="Courier New" w:hint="default"/>
      </w:rPr>
    </w:lvl>
    <w:lvl w:ilvl="5">
      <w:start w:val="1"/>
      <w:numFmt w:val="bullet"/>
      <w:lvlRestart w:val="0"/>
      <w:lvlText w:val=""/>
      <w:lvlJc w:val="left"/>
      <w:pPr>
        <w:ind w:left="3402" w:hanging="567"/>
      </w:pPr>
      <w:rPr>
        <w:rFonts w:ascii="Symbol" w:hAnsi="Symbol" w:hint="default"/>
      </w:rPr>
    </w:lvl>
    <w:lvl w:ilvl="6">
      <w:start w:val="1"/>
      <w:numFmt w:val="bullet"/>
      <w:lvlRestart w:val="0"/>
      <w:lvlText w:val=""/>
      <w:lvlJc w:val="left"/>
      <w:pPr>
        <w:ind w:left="3969" w:hanging="567"/>
      </w:pPr>
      <w:rPr>
        <w:rFonts w:ascii="Symbol" w:hAnsi="Symbol" w:hint="default"/>
      </w:rPr>
    </w:lvl>
    <w:lvl w:ilvl="7">
      <w:start w:val="1"/>
      <w:numFmt w:val="bullet"/>
      <w:lvlRestart w:val="0"/>
      <w:lvlText w:val="o"/>
      <w:lvlJc w:val="left"/>
      <w:pPr>
        <w:ind w:left="4536" w:hanging="567"/>
      </w:pPr>
      <w:rPr>
        <w:rFonts w:ascii="Courier New" w:hAnsi="Courier New" w:hint="default"/>
      </w:rPr>
    </w:lvl>
    <w:lvl w:ilvl="8">
      <w:start w:val="1"/>
      <w:numFmt w:val="bullet"/>
      <w:lvlRestart w:val="0"/>
      <w:lvlText w:val=""/>
      <w:lvlJc w:val="left"/>
      <w:pPr>
        <w:ind w:left="5103" w:hanging="567"/>
      </w:pPr>
      <w:rPr>
        <w:rFonts w:ascii="Symbol" w:hAnsi="Symbol" w:hint="default"/>
      </w:rPr>
    </w:lvl>
  </w:abstractNum>
  <w:abstractNum w:abstractNumId="8" w15:restartNumberingAfterBreak="0">
    <w:nsid w:val="3C0A0F83"/>
    <w:multiLevelType w:val="hybridMultilevel"/>
    <w:tmpl w:val="87DEECCE"/>
    <w:lvl w:ilvl="0" w:tplc="EC5052D0">
      <w:start w:val="1228"/>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53255B"/>
    <w:multiLevelType w:val="multilevel"/>
    <w:tmpl w:val="5F64D43C"/>
    <w:lvl w:ilvl="0">
      <w:start w:val="1"/>
      <w:numFmt w:val="decimal"/>
      <w:pStyle w:val="NumberedListStyle"/>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0" w15:restartNumberingAfterBreak="0">
    <w:nsid w:val="4ABC5A19"/>
    <w:multiLevelType w:val="hybridMultilevel"/>
    <w:tmpl w:val="C9BE0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DF6BA2"/>
    <w:multiLevelType w:val="hybridMultilevel"/>
    <w:tmpl w:val="099E4B6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72568B"/>
    <w:multiLevelType w:val="hybridMultilevel"/>
    <w:tmpl w:val="BB9C080A"/>
    <w:lvl w:ilvl="0" w:tplc="392846C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3BA45E3"/>
    <w:multiLevelType w:val="hybridMultilevel"/>
    <w:tmpl w:val="E81ABEAC"/>
    <w:lvl w:ilvl="0" w:tplc="4A8AEB7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934E3B"/>
    <w:multiLevelType w:val="multilevel"/>
    <w:tmpl w:val="369A1B8C"/>
    <w:styleLink w:val="BulletsDoH"/>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
      <w:lvlJc w:val="left"/>
      <w:pPr>
        <w:ind w:left="1701" w:hanging="567"/>
      </w:pPr>
      <w:rPr>
        <w:rFonts w:ascii="Symbol" w:hAnsi="Symbol"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Symbol" w:hAnsi="Symbol"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Symbol" w:hAnsi="Symbol" w:hint="default"/>
      </w:rPr>
    </w:lvl>
  </w:abstractNum>
  <w:abstractNum w:abstractNumId="15" w15:restartNumberingAfterBreak="0">
    <w:nsid w:val="54AF7685"/>
    <w:multiLevelType w:val="hybridMultilevel"/>
    <w:tmpl w:val="0E5C2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C234FA"/>
    <w:multiLevelType w:val="hybridMultilevel"/>
    <w:tmpl w:val="4B94F72C"/>
    <w:lvl w:ilvl="0" w:tplc="06AC302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557188"/>
    <w:multiLevelType w:val="multilevel"/>
    <w:tmpl w:val="27DA259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18" w15:restartNumberingAfterBreak="0">
    <w:nsid w:val="77C803DF"/>
    <w:multiLevelType w:val="hybridMultilevel"/>
    <w:tmpl w:val="B65EB68A"/>
    <w:lvl w:ilvl="0" w:tplc="1932E04A">
      <w:start w:val="1"/>
      <w:numFmt w:val="decimal"/>
      <w:lvlText w:val="%1"/>
      <w:lvlJc w:val="left"/>
      <w:pPr>
        <w:ind w:left="720" w:hanging="360"/>
      </w:pPr>
      <w:rPr>
        <w:rFonts w:hint="default"/>
      </w:rPr>
    </w:lvl>
    <w:lvl w:ilvl="1" w:tplc="392846C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11"/>
  </w:num>
  <w:num w:numId="5">
    <w:abstractNumId w:val="13"/>
  </w:num>
  <w:num w:numId="6">
    <w:abstractNumId w:val="16"/>
  </w:num>
  <w:num w:numId="7">
    <w:abstractNumId w:val="10"/>
  </w:num>
  <w:num w:numId="8">
    <w:abstractNumId w:val="18"/>
  </w:num>
  <w:num w:numId="9">
    <w:abstractNumId w:val="2"/>
  </w:num>
  <w:num w:numId="10">
    <w:abstractNumId w:val="4"/>
  </w:num>
  <w:num w:numId="11">
    <w:abstractNumId w:val="12"/>
  </w:num>
  <w:num w:numId="12">
    <w:abstractNumId w:val="8"/>
  </w:num>
  <w:num w:numId="13">
    <w:abstractNumId w:val="17"/>
  </w:num>
  <w:num w:numId="14">
    <w:abstractNumId w:val="7"/>
  </w:num>
  <w:num w:numId="15">
    <w:abstractNumId w:val="0"/>
  </w:num>
  <w:num w:numId="16">
    <w:abstractNumId w:val="14"/>
  </w:num>
  <w:num w:numId="17">
    <w:abstractNumId w:val="6"/>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1tTSysDA0MzQ0NbNU0lEKTi0uzszPAykwrAUAoHDLGCwAAAA="/>
  </w:docVars>
  <w:rsids>
    <w:rsidRoot w:val="00B7274D"/>
    <w:rsid w:val="00003979"/>
    <w:rsid w:val="000427BD"/>
    <w:rsid w:val="000E663B"/>
    <w:rsid w:val="001B1F55"/>
    <w:rsid w:val="00223E33"/>
    <w:rsid w:val="00247FFB"/>
    <w:rsid w:val="002D5988"/>
    <w:rsid w:val="00334455"/>
    <w:rsid w:val="00422D9F"/>
    <w:rsid w:val="004A5ADF"/>
    <w:rsid w:val="00532FB2"/>
    <w:rsid w:val="00556390"/>
    <w:rsid w:val="00566EEC"/>
    <w:rsid w:val="005954A0"/>
    <w:rsid w:val="005C540D"/>
    <w:rsid w:val="006116B7"/>
    <w:rsid w:val="0081487B"/>
    <w:rsid w:val="008370E5"/>
    <w:rsid w:val="009A0FFE"/>
    <w:rsid w:val="009C0EA2"/>
    <w:rsid w:val="009F0000"/>
    <w:rsid w:val="009F3985"/>
    <w:rsid w:val="00A0639E"/>
    <w:rsid w:val="00A47B11"/>
    <w:rsid w:val="00A96FA3"/>
    <w:rsid w:val="00B7274D"/>
    <w:rsid w:val="00B967EB"/>
    <w:rsid w:val="00BE6CD2"/>
    <w:rsid w:val="00C22A2F"/>
    <w:rsid w:val="00C37C56"/>
    <w:rsid w:val="00C56D84"/>
    <w:rsid w:val="00C7046F"/>
    <w:rsid w:val="00CC022F"/>
    <w:rsid w:val="00D945C3"/>
    <w:rsid w:val="00EF7757"/>
    <w:rsid w:val="00F516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6B83A"/>
  <w15:docId w15:val="{43EDE2BF-E5F6-4582-8AB0-A74D4D66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CD2"/>
    <w:pPr>
      <w:tabs>
        <w:tab w:val="left" w:pos="567"/>
      </w:tabs>
      <w:spacing w:after="140" w:line="300" w:lineRule="atLeast"/>
    </w:pPr>
    <w:rPr>
      <w:rFonts w:ascii="Gill Sans MT" w:hAnsi="Gill Sans MT"/>
    </w:rPr>
  </w:style>
  <w:style w:type="paragraph" w:styleId="Heading1">
    <w:name w:val="heading 1"/>
    <w:basedOn w:val="Normal"/>
    <w:next w:val="Normal"/>
    <w:link w:val="Heading1Char"/>
    <w:uiPriority w:val="1"/>
    <w:qFormat/>
    <w:rsid w:val="00BE6CD2"/>
    <w:pPr>
      <w:keepNext/>
      <w:spacing w:before="240"/>
      <w:outlineLvl w:val="0"/>
    </w:pPr>
    <w:rPr>
      <w:rFonts w:eastAsiaTheme="majorEastAsia" w:cstheme="majorBidi"/>
      <w:b/>
      <w:sz w:val="40"/>
      <w:szCs w:val="32"/>
    </w:rPr>
  </w:style>
  <w:style w:type="paragraph" w:styleId="Heading2">
    <w:name w:val="heading 2"/>
    <w:basedOn w:val="Normal"/>
    <w:next w:val="Normal"/>
    <w:link w:val="Heading2Char"/>
    <w:uiPriority w:val="1"/>
    <w:qFormat/>
    <w:rsid w:val="00BE6CD2"/>
    <w:pPr>
      <w:keepNext/>
      <w:spacing w:before="40"/>
      <w:outlineLvl w:val="1"/>
    </w:pPr>
    <w:rPr>
      <w:rFonts w:eastAsiaTheme="majorEastAsia" w:cstheme="majorBidi"/>
      <w:b/>
      <w:sz w:val="32"/>
      <w:szCs w:val="26"/>
    </w:rPr>
  </w:style>
  <w:style w:type="paragraph" w:styleId="Heading3">
    <w:name w:val="heading 3"/>
    <w:basedOn w:val="Normal"/>
    <w:next w:val="Normal"/>
    <w:link w:val="Heading3Char"/>
    <w:uiPriority w:val="1"/>
    <w:qFormat/>
    <w:rsid w:val="00BE6CD2"/>
    <w:pPr>
      <w:keepNext/>
      <w:spacing w:before="40"/>
      <w:outlineLvl w:val="2"/>
    </w:pPr>
    <w:rPr>
      <w:rFonts w:eastAsiaTheme="majorEastAsia" w:cstheme="majorBidi"/>
      <w:b/>
      <w:sz w:val="28"/>
      <w:szCs w:val="24"/>
    </w:rPr>
  </w:style>
  <w:style w:type="paragraph" w:styleId="Heading4">
    <w:name w:val="heading 4"/>
    <w:basedOn w:val="Normal"/>
    <w:next w:val="Normal"/>
    <w:link w:val="Heading4Char"/>
    <w:uiPriority w:val="1"/>
    <w:qFormat/>
    <w:rsid w:val="00BE6CD2"/>
    <w:pPr>
      <w:keepNext/>
      <w:spacing w:before="40"/>
      <w:outlineLvl w:val="3"/>
    </w:pPr>
    <w:rPr>
      <w:rFonts w:eastAsiaTheme="majorEastAsia" w:cstheme="majorBidi"/>
      <w:b/>
      <w:iCs/>
      <w:sz w:val="24"/>
    </w:rPr>
  </w:style>
  <w:style w:type="paragraph" w:styleId="Heading5">
    <w:name w:val="heading 5"/>
    <w:basedOn w:val="Normal"/>
    <w:next w:val="Normal"/>
    <w:link w:val="Heading5Char"/>
    <w:uiPriority w:val="99"/>
    <w:semiHidden/>
    <w:rsid w:val="00BE6CD2"/>
    <w:pPr>
      <w:spacing w:before="240" w:after="60" w:line="300" w:lineRule="exact"/>
      <w:outlineLvl w:val="4"/>
    </w:pPr>
    <w:rPr>
      <w:b/>
      <w:bCs/>
      <w:i/>
      <w:iCs/>
      <w:sz w:val="26"/>
      <w:szCs w:val="26"/>
    </w:rPr>
  </w:style>
  <w:style w:type="paragraph" w:styleId="Heading6">
    <w:name w:val="heading 6"/>
    <w:basedOn w:val="Normal"/>
    <w:next w:val="Normal"/>
    <w:link w:val="Heading6Char"/>
    <w:uiPriority w:val="99"/>
    <w:semiHidden/>
    <w:rsid w:val="00BE6CD2"/>
    <w:pPr>
      <w:spacing w:before="240" w:after="60" w:line="300" w:lineRule="exact"/>
      <w:outlineLvl w:val="5"/>
    </w:pPr>
    <w:rPr>
      <w:b/>
      <w:bCs/>
    </w:rPr>
  </w:style>
  <w:style w:type="paragraph" w:styleId="Heading7">
    <w:name w:val="heading 7"/>
    <w:basedOn w:val="Normal"/>
    <w:next w:val="Normal"/>
    <w:link w:val="Heading7Char"/>
    <w:uiPriority w:val="99"/>
    <w:semiHidden/>
    <w:rsid w:val="00BE6CD2"/>
    <w:pPr>
      <w:numPr>
        <w:ilvl w:val="6"/>
        <w:numId w:val="13"/>
      </w:numPr>
      <w:spacing w:before="240" w:after="60" w:line="300" w:lineRule="exact"/>
      <w:outlineLvl w:val="6"/>
    </w:pPr>
    <w:rPr>
      <w:sz w:val="24"/>
    </w:rPr>
  </w:style>
  <w:style w:type="paragraph" w:styleId="Heading8">
    <w:name w:val="heading 8"/>
    <w:basedOn w:val="Normal"/>
    <w:next w:val="Normal"/>
    <w:link w:val="Heading8Char"/>
    <w:uiPriority w:val="99"/>
    <w:semiHidden/>
    <w:rsid w:val="00BE6CD2"/>
    <w:pPr>
      <w:numPr>
        <w:ilvl w:val="7"/>
        <w:numId w:val="13"/>
      </w:numPr>
      <w:spacing w:before="240" w:after="60" w:line="300" w:lineRule="exact"/>
      <w:outlineLvl w:val="7"/>
    </w:pPr>
    <w:rPr>
      <w:i/>
      <w:iCs/>
      <w:sz w:val="24"/>
    </w:rPr>
  </w:style>
  <w:style w:type="paragraph" w:styleId="Heading9">
    <w:name w:val="heading 9"/>
    <w:basedOn w:val="Normal"/>
    <w:next w:val="Normal"/>
    <w:link w:val="Heading9Char"/>
    <w:uiPriority w:val="99"/>
    <w:semiHidden/>
    <w:rsid w:val="00BE6CD2"/>
    <w:pPr>
      <w:numPr>
        <w:ilvl w:val="8"/>
        <w:numId w:val="13"/>
      </w:numPr>
      <w:spacing w:before="240" w:after="60" w:line="300" w:lineRule="exact"/>
      <w:outlineLvl w:val="8"/>
    </w:pPr>
    <w:rPr>
      <w:rFonts w:cs="Arial"/>
    </w:rPr>
  </w:style>
  <w:style w:type="character" w:default="1" w:styleId="DefaultParagraphFont">
    <w:name w:val="Default Paragraph Font"/>
    <w:uiPriority w:val="1"/>
    <w:semiHidden/>
    <w:unhideWhenUsed/>
    <w:rsid w:val="00BE6C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6CD2"/>
  </w:style>
  <w:style w:type="paragraph" w:styleId="Header">
    <w:name w:val="header"/>
    <w:basedOn w:val="Normal"/>
    <w:link w:val="HeaderChar"/>
    <w:uiPriority w:val="99"/>
    <w:unhideWhenUsed/>
    <w:rsid w:val="00B72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74D"/>
  </w:style>
  <w:style w:type="paragraph" w:styleId="Footer">
    <w:name w:val="footer"/>
    <w:basedOn w:val="Normal"/>
    <w:link w:val="FooterChar"/>
    <w:uiPriority w:val="99"/>
    <w:unhideWhenUsed/>
    <w:rsid w:val="00B72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74D"/>
  </w:style>
  <w:style w:type="character" w:customStyle="1" w:styleId="Heading2Char">
    <w:name w:val="Heading 2 Char"/>
    <w:basedOn w:val="DefaultParagraphFont"/>
    <w:link w:val="Heading2"/>
    <w:uiPriority w:val="1"/>
    <w:rsid w:val="00BE6CD2"/>
    <w:rPr>
      <w:rFonts w:ascii="Gill Sans MT" w:eastAsiaTheme="majorEastAsia" w:hAnsi="Gill Sans MT" w:cstheme="majorBidi"/>
      <w:b/>
      <w:sz w:val="32"/>
      <w:szCs w:val="26"/>
    </w:rPr>
  </w:style>
  <w:style w:type="character" w:customStyle="1" w:styleId="Heading3Char">
    <w:name w:val="Heading 3 Char"/>
    <w:basedOn w:val="DefaultParagraphFont"/>
    <w:link w:val="Heading3"/>
    <w:uiPriority w:val="1"/>
    <w:rsid w:val="00BE6CD2"/>
    <w:rPr>
      <w:rFonts w:ascii="Gill Sans MT" w:eastAsiaTheme="majorEastAsia" w:hAnsi="Gill Sans MT" w:cstheme="majorBidi"/>
      <w:b/>
      <w:sz w:val="28"/>
      <w:szCs w:val="24"/>
    </w:rPr>
  </w:style>
  <w:style w:type="character" w:styleId="FootnoteReference">
    <w:name w:val="footnote reference"/>
    <w:semiHidden/>
    <w:rsid w:val="009C0EA2"/>
    <w:rPr>
      <w:vertAlign w:val="superscript"/>
    </w:rPr>
  </w:style>
  <w:style w:type="paragraph" w:styleId="FootnoteText">
    <w:name w:val="footnote text"/>
    <w:basedOn w:val="Normal"/>
    <w:link w:val="FootnoteTextChar"/>
    <w:semiHidden/>
    <w:rsid w:val="009C0EA2"/>
    <w:pPr>
      <w:keepLines/>
      <w:spacing w:line="240" w:lineRule="atLeast"/>
      <w:ind w:left="851"/>
    </w:pPr>
    <w:rPr>
      <w:color w:val="000000"/>
      <w:sz w:val="20"/>
      <w:szCs w:val="20"/>
    </w:rPr>
  </w:style>
  <w:style w:type="character" w:customStyle="1" w:styleId="FootnoteTextChar">
    <w:name w:val="Footnote Text Char"/>
    <w:basedOn w:val="DefaultParagraphFont"/>
    <w:link w:val="FootnoteText"/>
    <w:semiHidden/>
    <w:rsid w:val="009C0EA2"/>
    <w:rPr>
      <w:rFonts w:ascii="Gill Sans MT" w:eastAsia="Times New Roman" w:hAnsi="Gill Sans MT" w:cs="Times New Roman"/>
      <w:color w:val="000000"/>
      <w:sz w:val="20"/>
      <w:szCs w:val="20"/>
    </w:rPr>
  </w:style>
  <w:style w:type="paragraph" w:styleId="Date">
    <w:name w:val="Date"/>
    <w:basedOn w:val="Normal"/>
    <w:next w:val="Normal"/>
    <w:link w:val="DateChar"/>
    <w:semiHidden/>
    <w:rsid w:val="009C0EA2"/>
    <w:pPr>
      <w:spacing w:after="0" w:line="480" w:lineRule="atLeast"/>
    </w:pPr>
    <w:rPr>
      <w:sz w:val="28"/>
    </w:rPr>
  </w:style>
  <w:style w:type="character" w:customStyle="1" w:styleId="DateChar">
    <w:name w:val="Date Char"/>
    <w:basedOn w:val="DefaultParagraphFont"/>
    <w:link w:val="Date"/>
    <w:semiHidden/>
    <w:rsid w:val="009C0EA2"/>
    <w:rPr>
      <w:rFonts w:ascii="Gill Sans MT" w:eastAsia="Times New Roman" w:hAnsi="Gill Sans MT" w:cs="Times New Roman"/>
      <w:sz w:val="28"/>
    </w:rPr>
  </w:style>
  <w:style w:type="character" w:styleId="Hyperlink">
    <w:name w:val="Hyperlink"/>
    <w:basedOn w:val="DefaultParagraphFont"/>
    <w:uiPriority w:val="99"/>
    <w:rsid w:val="00BE6CD2"/>
    <w:rPr>
      <w:color w:val="0000FF"/>
      <w:u w:val="single"/>
    </w:rPr>
  </w:style>
  <w:style w:type="paragraph" w:customStyle="1" w:styleId="Logo">
    <w:name w:val="Logo"/>
    <w:semiHidden/>
    <w:rsid w:val="009C0EA2"/>
    <w:pPr>
      <w:spacing w:after="0" w:line="300" w:lineRule="atLeast"/>
      <w:ind w:right="-28"/>
      <w:jc w:val="right"/>
    </w:pPr>
    <w:rPr>
      <w:rFonts w:ascii="Gill Sans MT" w:eastAsia="Times New Roman" w:hAnsi="Gill Sans MT" w:cs="Times New Roman"/>
      <w:sz w:val="20"/>
      <w:szCs w:val="24"/>
    </w:rPr>
  </w:style>
  <w:style w:type="paragraph" w:customStyle="1" w:styleId="Fileno">
    <w:name w:val="File no."/>
    <w:basedOn w:val="Normal"/>
    <w:semiHidden/>
    <w:rsid w:val="009C0EA2"/>
    <w:pPr>
      <w:spacing w:after="240" w:line="300" w:lineRule="exact"/>
    </w:pPr>
    <w:rPr>
      <w:rFonts w:ascii="Arial" w:hAnsi="Arial" w:cs="Arial"/>
    </w:rPr>
  </w:style>
  <w:style w:type="paragraph" w:customStyle="1" w:styleId="ReportTitle">
    <w:name w:val="Report Title"/>
    <w:basedOn w:val="Heading1"/>
    <w:semiHidden/>
    <w:rsid w:val="009C0EA2"/>
    <w:pPr>
      <w:keepNext w:val="0"/>
      <w:spacing w:before="2600" w:after="5600"/>
      <w:outlineLvl w:val="9"/>
    </w:pPr>
    <w:rPr>
      <w:rFonts w:eastAsia="Times New Roman" w:cs="Arial"/>
      <w:bCs/>
      <w:snapToGrid w:val="0"/>
      <w:kern w:val="28"/>
      <w:sz w:val="48"/>
      <w:szCs w:val="20"/>
    </w:rPr>
  </w:style>
  <w:style w:type="paragraph" w:customStyle="1" w:styleId="DepartmentTitle">
    <w:name w:val="Department Title"/>
    <w:next w:val="DepartmentAddress"/>
    <w:qFormat/>
    <w:rsid w:val="00BE6CD2"/>
    <w:pPr>
      <w:spacing w:after="140" w:line="300" w:lineRule="atLeast"/>
    </w:pPr>
    <w:rPr>
      <w:rFonts w:ascii="Gill Sans MT" w:hAnsi="Gill Sans MT"/>
      <w:sz w:val="28"/>
      <w:szCs w:val="24"/>
    </w:rPr>
  </w:style>
  <w:style w:type="paragraph" w:customStyle="1" w:styleId="Sub-branch">
    <w:name w:val="Sub-branch"/>
    <w:basedOn w:val="Normal"/>
    <w:semiHidden/>
    <w:rsid w:val="009C0EA2"/>
    <w:pPr>
      <w:spacing w:before="80" w:after="240" w:line="24" w:lineRule="atLeast"/>
    </w:pPr>
    <w:rPr>
      <w:caps/>
      <w:w w:val="95"/>
      <w:sz w:val="18"/>
      <w:szCs w:val="20"/>
    </w:rPr>
  </w:style>
  <w:style w:type="paragraph" w:styleId="BodyText">
    <w:name w:val="Body Text"/>
    <w:basedOn w:val="Normal"/>
    <w:link w:val="BodyTextChar"/>
    <w:semiHidden/>
    <w:rsid w:val="009C0EA2"/>
  </w:style>
  <w:style w:type="character" w:customStyle="1" w:styleId="BodyTextChar">
    <w:name w:val="Body Text Char"/>
    <w:basedOn w:val="DefaultParagraphFont"/>
    <w:link w:val="BodyText"/>
    <w:semiHidden/>
    <w:rsid w:val="009C0EA2"/>
    <w:rPr>
      <w:rFonts w:ascii="Gill Sans MT" w:eastAsia="Times New Roman" w:hAnsi="Gill Sans MT" w:cs="Times New Roman"/>
    </w:rPr>
  </w:style>
  <w:style w:type="paragraph" w:customStyle="1" w:styleId="FileorMTSNo">
    <w:name w:val="File or MTS No."/>
    <w:semiHidden/>
    <w:rsid w:val="009C0EA2"/>
    <w:pPr>
      <w:spacing w:after="120" w:line="240" w:lineRule="auto"/>
    </w:pPr>
    <w:rPr>
      <w:rFonts w:ascii="Gill Sans MT" w:eastAsia="Times New Roman" w:hAnsi="Gill Sans MT" w:cs="Times New Roman"/>
      <w:color w:val="000000"/>
      <w:sz w:val="18"/>
      <w:szCs w:val="20"/>
    </w:rPr>
  </w:style>
  <w:style w:type="paragraph" w:styleId="ListParagraph">
    <w:name w:val="List Paragraph"/>
    <w:basedOn w:val="Normal"/>
    <w:uiPriority w:val="99"/>
    <w:unhideWhenUsed/>
    <w:rsid w:val="00BE6CD2"/>
    <w:pPr>
      <w:ind w:left="720"/>
      <w:contextualSpacing/>
    </w:pPr>
  </w:style>
  <w:style w:type="character" w:customStyle="1" w:styleId="Heading1Char">
    <w:name w:val="Heading 1 Char"/>
    <w:basedOn w:val="DefaultParagraphFont"/>
    <w:link w:val="Heading1"/>
    <w:uiPriority w:val="1"/>
    <w:rsid w:val="00BE6CD2"/>
    <w:rPr>
      <w:rFonts w:ascii="Gill Sans MT" w:eastAsiaTheme="majorEastAsia" w:hAnsi="Gill Sans MT" w:cstheme="majorBidi"/>
      <w:b/>
      <w:sz w:val="40"/>
      <w:szCs w:val="32"/>
    </w:rPr>
  </w:style>
  <w:style w:type="paragraph" w:styleId="BalloonText">
    <w:name w:val="Balloon Text"/>
    <w:basedOn w:val="Normal"/>
    <w:link w:val="BalloonTextChar"/>
    <w:uiPriority w:val="99"/>
    <w:semiHidden/>
    <w:unhideWhenUsed/>
    <w:rsid w:val="009C0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EA2"/>
    <w:rPr>
      <w:rFonts w:ascii="Tahoma" w:eastAsia="Times New Roman" w:hAnsi="Tahoma" w:cs="Tahoma"/>
      <w:sz w:val="16"/>
      <w:szCs w:val="16"/>
    </w:rPr>
  </w:style>
  <w:style w:type="table" w:styleId="TableGrid">
    <w:name w:val="Table Grid"/>
    <w:basedOn w:val="TableNormal"/>
    <w:rsid w:val="00D9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47B1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5ADF"/>
    <w:rPr>
      <w:sz w:val="16"/>
      <w:szCs w:val="16"/>
    </w:rPr>
  </w:style>
  <w:style w:type="paragraph" w:styleId="CommentText">
    <w:name w:val="annotation text"/>
    <w:basedOn w:val="Normal"/>
    <w:link w:val="CommentTextChar"/>
    <w:uiPriority w:val="99"/>
    <w:semiHidden/>
    <w:unhideWhenUsed/>
    <w:rsid w:val="004A5ADF"/>
    <w:pPr>
      <w:spacing w:line="240" w:lineRule="auto"/>
    </w:pPr>
    <w:rPr>
      <w:sz w:val="20"/>
      <w:szCs w:val="20"/>
    </w:rPr>
  </w:style>
  <w:style w:type="character" w:customStyle="1" w:styleId="CommentTextChar">
    <w:name w:val="Comment Text Char"/>
    <w:basedOn w:val="DefaultParagraphFont"/>
    <w:link w:val="CommentText"/>
    <w:uiPriority w:val="99"/>
    <w:semiHidden/>
    <w:rsid w:val="004A5ADF"/>
    <w:rPr>
      <w:rFonts w:ascii="Gill Sans MT" w:eastAsia="Times New Roman" w:hAnsi="Gill Sans MT" w:cs="Times New Roman"/>
      <w:sz w:val="20"/>
      <w:szCs w:val="20"/>
    </w:rPr>
  </w:style>
  <w:style w:type="paragraph" w:styleId="CommentSubject">
    <w:name w:val="annotation subject"/>
    <w:basedOn w:val="CommentText"/>
    <w:next w:val="CommentText"/>
    <w:link w:val="CommentSubjectChar"/>
    <w:uiPriority w:val="99"/>
    <w:semiHidden/>
    <w:unhideWhenUsed/>
    <w:rsid w:val="004A5ADF"/>
    <w:rPr>
      <w:b/>
      <w:bCs/>
    </w:rPr>
  </w:style>
  <w:style w:type="character" w:customStyle="1" w:styleId="CommentSubjectChar">
    <w:name w:val="Comment Subject Char"/>
    <w:basedOn w:val="CommentTextChar"/>
    <w:link w:val="CommentSubject"/>
    <w:uiPriority w:val="99"/>
    <w:semiHidden/>
    <w:rsid w:val="004A5ADF"/>
    <w:rPr>
      <w:rFonts w:ascii="Gill Sans MT" w:eastAsia="Times New Roman" w:hAnsi="Gill Sans MT" w:cs="Times New Roman"/>
      <w:b/>
      <w:bCs/>
      <w:sz w:val="20"/>
      <w:szCs w:val="20"/>
    </w:rPr>
  </w:style>
  <w:style w:type="character" w:styleId="FollowedHyperlink">
    <w:name w:val="FollowedHyperlink"/>
    <w:basedOn w:val="DefaultParagraphFont"/>
    <w:uiPriority w:val="99"/>
    <w:semiHidden/>
    <w:rsid w:val="00BE6CD2"/>
    <w:rPr>
      <w:color w:val="800080"/>
      <w:u w:val="single"/>
    </w:rPr>
  </w:style>
  <w:style w:type="paragraph" w:styleId="NoSpacing">
    <w:name w:val="No Spacing"/>
    <w:uiPriority w:val="1"/>
    <w:qFormat/>
    <w:rsid w:val="00556390"/>
    <w:pPr>
      <w:tabs>
        <w:tab w:val="left" w:pos="567"/>
      </w:tabs>
      <w:spacing w:after="0" w:line="240" w:lineRule="auto"/>
    </w:pPr>
    <w:rPr>
      <w:rFonts w:ascii="Gill Sans MT" w:eastAsia="Times New Roman" w:hAnsi="Gill Sans MT" w:cs="Times New Roman"/>
    </w:rPr>
  </w:style>
  <w:style w:type="character" w:customStyle="1" w:styleId="Heading4Char">
    <w:name w:val="Heading 4 Char"/>
    <w:basedOn w:val="DefaultParagraphFont"/>
    <w:link w:val="Heading4"/>
    <w:uiPriority w:val="1"/>
    <w:rsid w:val="00BE6CD2"/>
    <w:rPr>
      <w:rFonts w:ascii="Gill Sans MT" w:eastAsiaTheme="majorEastAsia" w:hAnsi="Gill Sans MT" w:cstheme="majorBidi"/>
      <w:b/>
      <w:iCs/>
      <w:sz w:val="24"/>
    </w:rPr>
  </w:style>
  <w:style w:type="character" w:customStyle="1" w:styleId="Heading5Char">
    <w:name w:val="Heading 5 Char"/>
    <w:basedOn w:val="DefaultParagraphFont"/>
    <w:link w:val="Heading5"/>
    <w:uiPriority w:val="99"/>
    <w:semiHidden/>
    <w:rsid w:val="00BE6CD2"/>
    <w:rPr>
      <w:rFonts w:ascii="Gill Sans MT" w:hAnsi="Gill Sans MT"/>
      <w:b/>
      <w:bCs/>
      <w:i/>
      <w:iCs/>
      <w:sz w:val="26"/>
      <w:szCs w:val="26"/>
    </w:rPr>
  </w:style>
  <w:style w:type="character" w:customStyle="1" w:styleId="Heading6Char">
    <w:name w:val="Heading 6 Char"/>
    <w:basedOn w:val="DefaultParagraphFont"/>
    <w:link w:val="Heading6"/>
    <w:uiPriority w:val="99"/>
    <w:semiHidden/>
    <w:rsid w:val="00BE6CD2"/>
    <w:rPr>
      <w:rFonts w:ascii="Gill Sans MT" w:hAnsi="Gill Sans MT"/>
      <w:b/>
      <w:bCs/>
    </w:rPr>
  </w:style>
  <w:style w:type="character" w:customStyle="1" w:styleId="Heading7Char">
    <w:name w:val="Heading 7 Char"/>
    <w:basedOn w:val="DefaultParagraphFont"/>
    <w:link w:val="Heading7"/>
    <w:uiPriority w:val="99"/>
    <w:semiHidden/>
    <w:rsid w:val="00BE6CD2"/>
    <w:rPr>
      <w:rFonts w:ascii="Gill Sans MT" w:hAnsi="Gill Sans MT"/>
      <w:sz w:val="24"/>
    </w:rPr>
  </w:style>
  <w:style w:type="character" w:customStyle="1" w:styleId="Heading8Char">
    <w:name w:val="Heading 8 Char"/>
    <w:basedOn w:val="DefaultParagraphFont"/>
    <w:link w:val="Heading8"/>
    <w:uiPriority w:val="99"/>
    <w:semiHidden/>
    <w:rsid w:val="00BE6CD2"/>
    <w:rPr>
      <w:rFonts w:ascii="Gill Sans MT" w:hAnsi="Gill Sans MT"/>
      <w:i/>
      <w:iCs/>
      <w:sz w:val="24"/>
    </w:rPr>
  </w:style>
  <w:style w:type="character" w:customStyle="1" w:styleId="Heading9Char">
    <w:name w:val="Heading 9 Char"/>
    <w:basedOn w:val="DefaultParagraphFont"/>
    <w:link w:val="Heading9"/>
    <w:uiPriority w:val="99"/>
    <w:semiHidden/>
    <w:rsid w:val="00BE6CD2"/>
    <w:rPr>
      <w:rFonts w:ascii="Gill Sans MT" w:hAnsi="Gill Sans MT" w:cs="Arial"/>
    </w:rPr>
  </w:style>
  <w:style w:type="paragraph" w:customStyle="1" w:styleId="BulletedListLevel1">
    <w:name w:val="Bulleted List Level 1"/>
    <w:basedOn w:val="ListParagraph"/>
    <w:link w:val="BulletedListLevel1Char"/>
    <w:uiPriority w:val="3"/>
    <w:qFormat/>
    <w:rsid w:val="00BE6CD2"/>
    <w:pPr>
      <w:numPr>
        <w:numId w:val="14"/>
      </w:numPr>
      <w:contextualSpacing w:val="0"/>
    </w:pPr>
  </w:style>
  <w:style w:type="paragraph" w:customStyle="1" w:styleId="BulletedListLevel2">
    <w:name w:val="Bulleted List Level 2"/>
    <w:basedOn w:val="BulletedListLevel1"/>
    <w:link w:val="BulletedListLevel2Char"/>
    <w:uiPriority w:val="3"/>
    <w:qFormat/>
    <w:rsid w:val="00BE6CD2"/>
    <w:pPr>
      <w:numPr>
        <w:ilvl w:val="1"/>
      </w:numPr>
    </w:pPr>
    <w:rPr>
      <w:rFonts w:cs="Arial"/>
      <w:snapToGrid w:val="0"/>
    </w:rPr>
  </w:style>
  <w:style w:type="paragraph" w:customStyle="1" w:styleId="BulletedListLevel3">
    <w:name w:val="Bulleted List Level 3"/>
    <w:basedOn w:val="BulletedListLevel2"/>
    <w:link w:val="BulletedListLevel3Char"/>
    <w:uiPriority w:val="3"/>
    <w:qFormat/>
    <w:rsid w:val="00BE6CD2"/>
    <w:pPr>
      <w:numPr>
        <w:ilvl w:val="2"/>
      </w:numPr>
    </w:pPr>
    <w:rPr>
      <w:snapToGrid/>
    </w:rPr>
  </w:style>
  <w:style w:type="paragraph" w:customStyle="1" w:styleId="DepartmentAddress">
    <w:name w:val="Department Address"/>
    <w:next w:val="Normal"/>
    <w:qFormat/>
    <w:rsid w:val="00BE6CD2"/>
    <w:pPr>
      <w:widowControl w:val="0"/>
      <w:suppressAutoHyphens/>
      <w:autoSpaceDE w:val="0"/>
      <w:autoSpaceDN w:val="0"/>
      <w:adjustRightInd w:val="0"/>
      <w:spacing w:after="140" w:line="300" w:lineRule="atLeast"/>
      <w:textAlignment w:val="baseline"/>
    </w:pPr>
    <w:rPr>
      <w:rFonts w:ascii="Gill Sans MT" w:hAnsi="Gill Sans MT"/>
      <w:caps/>
      <w:color w:val="000000"/>
      <w:sz w:val="18"/>
    </w:rPr>
  </w:style>
  <w:style w:type="paragraph" w:customStyle="1" w:styleId="Heading1numbered">
    <w:name w:val="Heading 1 (numbered)"/>
    <w:basedOn w:val="Heading1"/>
    <w:next w:val="Normal"/>
    <w:link w:val="Heading1numberedChar"/>
    <w:uiPriority w:val="2"/>
    <w:qFormat/>
    <w:rsid w:val="00BE6CD2"/>
    <w:pPr>
      <w:pageBreakBefore/>
      <w:numPr>
        <w:numId w:val="15"/>
      </w:numPr>
      <w:spacing w:after="120"/>
    </w:pPr>
    <w:rPr>
      <w:rFonts w:eastAsia="Times New Roman" w:cs="Arial"/>
      <w:snapToGrid w:val="0"/>
      <w:szCs w:val="20"/>
    </w:rPr>
  </w:style>
  <w:style w:type="paragraph" w:customStyle="1" w:styleId="Heading2numbered">
    <w:name w:val="Heading 2 (numbered)"/>
    <w:basedOn w:val="Heading2"/>
    <w:next w:val="Normal"/>
    <w:link w:val="Heading2numberedChar"/>
    <w:uiPriority w:val="2"/>
    <w:qFormat/>
    <w:rsid w:val="00BE6CD2"/>
    <w:pPr>
      <w:numPr>
        <w:ilvl w:val="1"/>
        <w:numId w:val="15"/>
      </w:numPr>
      <w:spacing w:before="240" w:after="120"/>
    </w:pPr>
    <w:rPr>
      <w:rFonts w:eastAsia="Times New Roman" w:cs="Arial"/>
      <w:bCs/>
      <w:szCs w:val="28"/>
    </w:rPr>
  </w:style>
  <w:style w:type="paragraph" w:customStyle="1" w:styleId="Heading3numbered">
    <w:name w:val="Heading 3 (numbered)"/>
    <w:basedOn w:val="Heading3"/>
    <w:next w:val="Normal"/>
    <w:link w:val="Heading3numberedChar"/>
    <w:uiPriority w:val="2"/>
    <w:qFormat/>
    <w:rsid w:val="00BE6CD2"/>
    <w:pPr>
      <w:numPr>
        <w:ilvl w:val="2"/>
        <w:numId w:val="15"/>
      </w:numPr>
      <w:spacing w:before="240" w:after="120"/>
    </w:pPr>
    <w:rPr>
      <w:rFonts w:eastAsia="Times New Roman" w:cs="Arial"/>
      <w:bCs/>
      <w:iCs/>
      <w:szCs w:val="28"/>
    </w:rPr>
  </w:style>
  <w:style w:type="paragraph" w:customStyle="1" w:styleId="Heading4numbered">
    <w:name w:val="Heading 4 (numbered)"/>
    <w:basedOn w:val="Heading4"/>
    <w:next w:val="Normal"/>
    <w:link w:val="Heading4numberedChar"/>
    <w:uiPriority w:val="2"/>
    <w:qFormat/>
    <w:rsid w:val="00BE6CD2"/>
    <w:pPr>
      <w:numPr>
        <w:ilvl w:val="3"/>
        <w:numId w:val="15"/>
      </w:numPr>
      <w:spacing w:before="240" w:after="120"/>
    </w:pPr>
    <w:rPr>
      <w:rFonts w:eastAsia="Times New Roman" w:cs="Times New Roman"/>
      <w:bCs/>
      <w:iCs w:val="0"/>
      <w:lang w:eastAsia="en-AU"/>
    </w:rPr>
  </w:style>
  <w:style w:type="numbering" w:customStyle="1" w:styleId="BulletsDoH">
    <w:name w:val="Bullets DoH"/>
    <w:uiPriority w:val="99"/>
    <w:rsid w:val="00BE6CD2"/>
    <w:pPr>
      <w:numPr>
        <w:numId w:val="16"/>
      </w:numPr>
    </w:pPr>
  </w:style>
  <w:style w:type="numbering" w:customStyle="1" w:styleId="NumberedListDoH">
    <w:name w:val="Numbered List DoH"/>
    <w:uiPriority w:val="99"/>
    <w:rsid w:val="00BE6CD2"/>
    <w:pPr>
      <w:numPr>
        <w:numId w:val="17"/>
      </w:numPr>
    </w:pPr>
  </w:style>
  <w:style w:type="paragraph" w:customStyle="1" w:styleId="TableText">
    <w:name w:val="Table Text"/>
    <w:basedOn w:val="Normal"/>
    <w:uiPriority w:val="4"/>
    <w:qFormat/>
    <w:rsid w:val="00BE6CD2"/>
    <w:pPr>
      <w:keepLines/>
      <w:spacing w:after="40" w:line="240" w:lineRule="auto"/>
    </w:pPr>
  </w:style>
  <w:style w:type="character" w:customStyle="1" w:styleId="BulletedListLevel1Char">
    <w:name w:val="Bulleted List Level 1 Char"/>
    <w:basedOn w:val="DefaultParagraphFont"/>
    <w:link w:val="BulletedListLevel1"/>
    <w:uiPriority w:val="3"/>
    <w:rsid w:val="00BE6CD2"/>
    <w:rPr>
      <w:rFonts w:ascii="Gill Sans MT" w:hAnsi="Gill Sans MT"/>
    </w:rPr>
  </w:style>
  <w:style w:type="paragraph" w:customStyle="1" w:styleId="NumberedListStyle">
    <w:name w:val="Numbered List Style"/>
    <w:basedOn w:val="Normal"/>
    <w:link w:val="NumberedListStyleChar"/>
    <w:uiPriority w:val="4"/>
    <w:qFormat/>
    <w:rsid w:val="00BE6CD2"/>
    <w:pPr>
      <w:numPr>
        <w:numId w:val="18"/>
      </w:numPr>
    </w:pPr>
    <w:rPr>
      <w:rFonts w:eastAsia="Times New Roman" w:cs="Times New Roman"/>
      <w:szCs w:val="20"/>
    </w:rPr>
  </w:style>
  <w:style w:type="character" w:customStyle="1" w:styleId="BulletedListLevel2Char">
    <w:name w:val="Bulleted List Level 2 Char"/>
    <w:basedOn w:val="BulletedListLevel1Char"/>
    <w:link w:val="BulletedListLevel2"/>
    <w:uiPriority w:val="3"/>
    <w:rsid w:val="00BE6CD2"/>
    <w:rPr>
      <w:rFonts w:ascii="Gill Sans MT" w:hAnsi="Gill Sans MT" w:cs="Arial"/>
      <w:snapToGrid w:val="0"/>
    </w:rPr>
  </w:style>
  <w:style w:type="character" w:customStyle="1" w:styleId="BulletedListLevel3Char">
    <w:name w:val="Bulleted List Level 3 Char"/>
    <w:basedOn w:val="BulletedListLevel2Char"/>
    <w:link w:val="BulletedListLevel3"/>
    <w:uiPriority w:val="3"/>
    <w:rsid w:val="00BE6CD2"/>
    <w:rPr>
      <w:rFonts w:ascii="Gill Sans MT" w:hAnsi="Gill Sans MT" w:cs="Arial"/>
      <w:snapToGrid/>
    </w:rPr>
  </w:style>
  <w:style w:type="character" w:customStyle="1" w:styleId="Heading1numberedChar">
    <w:name w:val="Heading 1 (numbered) Char"/>
    <w:basedOn w:val="Heading1Char"/>
    <w:link w:val="Heading1numbered"/>
    <w:uiPriority w:val="2"/>
    <w:rsid w:val="00BE6CD2"/>
    <w:rPr>
      <w:rFonts w:ascii="Gill Sans MT" w:eastAsia="Times New Roman" w:hAnsi="Gill Sans MT" w:cs="Arial"/>
      <w:b/>
      <w:snapToGrid w:val="0"/>
      <w:sz w:val="40"/>
      <w:szCs w:val="20"/>
    </w:rPr>
  </w:style>
  <w:style w:type="character" w:customStyle="1" w:styleId="Heading2numberedChar">
    <w:name w:val="Heading 2 (numbered) Char"/>
    <w:basedOn w:val="Heading2Char"/>
    <w:link w:val="Heading2numbered"/>
    <w:uiPriority w:val="2"/>
    <w:rsid w:val="00BE6CD2"/>
    <w:rPr>
      <w:rFonts w:ascii="Gill Sans MT" w:eastAsia="Times New Roman" w:hAnsi="Gill Sans MT" w:cs="Arial"/>
      <w:b/>
      <w:bCs/>
      <w:sz w:val="32"/>
      <w:szCs w:val="28"/>
    </w:rPr>
  </w:style>
  <w:style w:type="character" w:customStyle="1" w:styleId="Heading3numberedChar">
    <w:name w:val="Heading 3 (numbered) Char"/>
    <w:basedOn w:val="Heading3Char"/>
    <w:link w:val="Heading3numbered"/>
    <w:uiPriority w:val="2"/>
    <w:rsid w:val="00BE6CD2"/>
    <w:rPr>
      <w:rFonts w:ascii="Gill Sans MT" w:eastAsia="Times New Roman" w:hAnsi="Gill Sans MT" w:cs="Arial"/>
      <w:b/>
      <w:bCs/>
      <w:iCs/>
      <w:sz w:val="28"/>
      <w:szCs w:val="28"/>
    </w:rPr>
  </w:style>
  <w:style w:type="character" w:customStyle="1" w:styleId="Heading4numberedChar">
    <w:name w:val="Heading 4 (numbered) Char"/>
    <w:basedOn w:val="Heading4Char"/>
    <w:link w:val="Heading4numbered"/>
    <w:uiPriority w:val="2"/>
    <w:rsid w:val="00BE6CD2"/>
    <w:rPr>
      <w:rFonts w:ascii="Gill Sans MT" w:eastAsia="Times New Roman" w:hAnsi="Gill Sans MT" w:cs="Times New Roman"/>
      <w:b/>
      <w:bCs/>
      <w:iCs w:val="0"/>
      <w:sz w:val="24"/>
      <w:lang w:eastAsia="en-AU"/>
    </w:rPr>
  </w:style>
  <w:style w:type="character" w:customStyle="1" w:styleId="NumberedListStyleChar">
    <w:name w:val="Numbered List Style Char"/>
    <w:basedOn w:val="DefaultParagraphFont"/>
    <w:link w:val="NumberedListStyle"/>
    <w:uiPriority w:val="4"/>
    <w:rsid w:val="00BE6CD2"/>
    <w:rPr>
      <w:rFonts w:ascii="Gill Sans MT" w:eastAsia="Times New Roman" w:hAnsi="Gill Sans MT" w:cs="Times New Roman"/>
      <w:szCs w:val="20"/>
    </w:rPr>
  </w:style>
  <w:style w:type="table" w:customStyle="1" w:styleId="TableGrid2">
    <w:name w:val="Table Grid2"/>
    <w:basedOn w:val="TableNormal"/>
    <w:next w:val="TableGrid"/>
    <w:rsid w:val="009F3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9B124-55D8-44C0-B392-76B9358F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Jessica A</dc:creator>
  <cp:lastModifiedBy>Bastion, Marissa</cp:lastModifiedBy>
  <cp:revision>4</cp:revision>
  <cp:lastPrinted>2017-09-07T03:04:00Z</cp:lastPrinted>
  <dcterms:created xsi:type="dcterms:W3CDTF">2019-01-10T06:16:00Z</dcterms:created>
  <dcterms:modified xsi:type="dcterms:W3CDTF">2019-01-10T06:40:00Z</dcterms:modified>
</cp:coreProperties>
</file>