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Spec="center"/>
        <w:tblW w:w="5000" w:type="pct"/>
        <w:tblLook w:val="01E0" w:firstRow="1" w:lastRow="1" w:firstColumn="1" w:lastColumn="1" w:noHBand="0" w:noVBand="0"/>
      </w:tblPr>
      <w:tblGrid>
        <w:gridCol w:w="9638"/>
      </w:tblGrid>
      <w:tr w:rsidR="00FB1F5D" w:rsidRPr="00914911" w:rsidTr="00E34410">
        <w:tc>
          <w:tcPr>
            <w:tcW w:w="5000" w:type="pct"/>
          </w:tcPr>
          <w:p w:rsidR="00856731" w:rsidRPr="00955445" w:rsidRDefault="00856731" w:rsidP="00955445">
            <w:pPr>
              <w:pStyle w:val="Heading1"/>
              <w:spacing w:before="0" w:after="0" w:line="240" w:lineRule="auto"/>
              <w:jc w:val="center"/>
              <w:rPr>
                <w:sz w:val="48"/>
              </w:rPr>
            </w:pPr>
            <w:bookmarkStart w:id="0" w:name="_GoBack"/>
            <w:bookmarkEnd w:id="0"/>
            <w:r w:rsidRPr="00955445">
              <w:rPr>
                <w:sz w:val="48"/>
              </w:rPr>
              <w:t>Non-Emergency Patient Transport</w:t>
            </w:r>
            <w:r w:rsidR="00955445" w:rsidRPr="00955445">
              <w:rPr>
                <w:sz w:val="48"/>
              </w:rPr>
              <w:t xml:space="preserve"> </w:t>
            </w:r>
            <w:r w:rsidR="00955445" w:rsidRPr="00955445">
              <w:rPr>
                <w:sz w:val="48"/>
              </w:rPr>
              <w:br/>
            </w:r>
            <w:r w:rsidRPr="00955445">
              <w:rPr>
                <w:sz w:val="48"/>
              </w:rPr>
              <w:t>Licence Application:</w:t>
            </w:r>
          </w:p>
          <w:p w:rsidR="00FB1F5D" w:rsidRPr="00914911" w:rsidRDefault="00861318" w:rsidP="00955445">
            <w:pPr>
              <w:pStyle w:val="Heading2"/>
              <w:spacing w:before="0" w:line="240" w:lineRule="auto"/>
              <w:jc w:val="center"/>
            </w:pPr>
            <w:r>
              <w:rPr>
                <w:sz w:val="40"/>
              </w:rPr>
              <w:t>Review of Requirements for New/Renewal/Reissue</w:t>
            </w:r>
          </w:p>
        </w:tc>
      </w:tr>
    </w:tbl>
    <w:p w:rsidR="00FB1F5D" w:rsidRDefault="00FB1F5D" w:rsidP="00FB1F5D">
      <w:r>
        <w:br w:type="page"/>
      </w:r>
    </w:p>
    <w:p w:rsidR="00856731" w:rsidRPr="00856731" w:rsidRDefault="00856731" w:rsidP="00955445">
      <w:pPr>
        <w:pStyle w:val="Heading1"/>
      </w:pPr>
      <w:r w:rsidRPr="00856731">
        <w:lastRenderedPageBreak/>
        <w:t xml:space="preserve">Form </w:t>
      </w:r>
      <w:r>
        <w:t>1</w:t>
      </w:r>
      <w:r w:rsidR="00861318">
        <w:t>3</w:t>
      </w:r>
      <w:r w:rsidRPr="00856731">
        <w:t xml:space="preserve">: </w:t>
      </w:r>
      <w:r w:rsidR="00861318">
        <w:t>Review of Requirements</w:t>
      </w:r>
    </w:p>
    <w:p w:rsidR="00856731" w:rsidRPr="00856731" w:rsidRDefault="00856731" w:rsidP="00955445">
      <w:pPr>
        <w:pStyle w:val="Heading2"/>
      </w:pPr>
      <w:r>
        <w:t>Executive Summary</w:t>
      </w:r>
    </w:p>
    <w:p w:rsidR="00861318" w:rsidRPr="00861318" w:rsidRDefault="00861318" w:rsidP="005E0898">
      <w:r w:rsidRPr="00861318">
        <w:t xml:space="preserve">This form was developed for Non-Emergency Patient Transport Service Providers in response to the suite of documents required to be provided electronically to inform assessment against the statutory requirements of the </w:t>
      </w:r>
      <w:r w:rsidRPr="00861318">
        <w:rPr>
          <w:i/>
        </w:rPr>
        <w:t>Ambulance Service Act 1982</w:t>
      </w:r>
      <w:r w:rsidRPr="00861318">
        <w:t xml:space="preserve"> (the Act) and its Regulations, in preparation for a licence to provide a Non-Emergency Patient Transport Service or for renewal, or re-issue on variation, of such a licence.</w:t>
      </w:r>
    </w:p>
    <w:p w:rsidR="00C078EE" w:rsidRDefault="00C078EE" w:rsidP="00C078EE">
      <w:pPr>
        <w:spacing w:before="120" w:after="120" w:line="240" w:lineRule="auto"/>
      </w:pPr>
    </w:p>
    <w:p w:rsidR="00D04B60" w:rsidRPr="005E0898" w:rsidRDefault="00D04B60" w:rsidP="005E0898">
      <w:r w:rsidRPr="005E0898">
        <w:t xml:space="preserve">For further enquires contact the Regulation Unit on 03 6166 3856 or at </w:t>
      </w:r>
      <w:hyperlink r:id="rId8" w:history="1">
        <w:r w:rsidRPr="005E0898">
          <w:rPr>
            <w:rStyle w:val="Hyperlink"/>
          </w:rPr>
          <w:t>NEPT@health.tas.gov.au</w:t>
        </w:r>
      </w:hyperlink>
      <w:r w:rsidRPr="005E0898">
        <w:t>.</w:t>
      </w:r>
    </w:p>
    <w:p w:rsidR="005E0898" w:rsidRPr="005E0898" w:rsidRDefault="005E0898" w:rsidP="005E0898">
      <w:pPr>
        <w:tabs>
          <w:tab w:val="left" w:pos="2459"/>
        </w:tabs>
      </w:pPr>
    </w:p>
    <w:p w:rsidR="005E0898" w:rsidRDefault="005E0898" w:rsidP="005E0898"/>
    <w:p w:rsidR="00861318" w:rsidRPr="005E0898" w:rsidRDefault="00861318" w:rsidP="005E0898">
      <w:pPr>
        <w:sectPr w:rsidR="00861318" w:rsidRPr="005E0898" w:rsidSect="0052682A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907" w:right="1134" w:bottom="737" w:left="1134" w:header="567" w:footer="567" w:gutter="0"/>
          <w:cols w:space="708"/>
          <w:docGrid w:linePitch="360"/>
        </w:sectPr>
      </w:pPr>
    </w:p>
    <w:p w:rsidR="00861318" w:rsidRPr="00861318" w:rsidRDefault="00861318" w:rsidP="00861318">
      <w:pPr>
        <w:pStyle w:val="Heading1"/>
      </w:pPr>
      <w:bookmarkStart w:id="1" w:name="_Toc859656"/>
      <w:r w:rsidRPr="00861318">
        <w:lastRenderedPageBreak/>
        <w:t>Service Information Provided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Service Information Provided"/>
        <w:tblDescription w:val="Service Information Provided"/>
      </w:tblPr>
      <w:tblGrid>
        <w:gridCol w:w="552"/>
        <w:gridCol w:w="5702"/>
        <w:gridCol w:w="3457"/>
        <w:gridCol w:w="3457"/>
        <w:gridCol w:w="1392"/>
      </w:tblGrid>
      <w:tr w:rsidR="00861318" w:rsidRPr="00861318" w:rsidTr="005E0898">
        <w:trPr>
          <w:trHeight w:val="567"/>
          <w:tblHeader/>
        </w:trPr>
        <w:tc>
          <w:tcPr>
            <w:tcW w:w="190" w:type="pct"/>
            <w:shd w:val="clear" w:color="auto" w:fill="3D8521"/>
            <w:vAlign w:val="center"/>
          </w:tcPr>
          <w:p w:rsidR="00861318" w:rsidRPr="00861318" w:rsidRDefault="00861318" w:rsidP="00861318">
            <w:pPr>
              <w:spacing w:after="0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No</w:t>
            </w:r>
          </w:p>
        </w:tc>
        <w:tc>
          <w:tcPr>
            <w:tcW w:w="1958" w:type="pct"/>
            <w:shd w:val="clear" w:color="auto" w:fill="3D8521"/>
            <w:vAlign w:val="center"/>
          </w:tcPr>
          <w:p w:rsidR="00861318" w:rsidRPr="00861318" w:rsidRDefault="00861318" w:rsidP="00861318">
            <w:pPr>
              <w:spacing w:after="0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Criteria</w:t>
            </w:r>
          </w:p>
        </w:tc>
        <w:tc>
          <w:tcPr>
            <w:tcW w:w="1187" w:type="pct"/>
            <w:shd w:val="clear" w:color="auto" w:fill="3D8521"/>
            <w:vAlign w:val="center"/>
          </w:tcPr>
          <w:p w:rsidR="00861318" w:rsidRPr="00861318" w:rsidRDefault="00861318" w:rsidP="00861318">
            <w:pPr>
              <w:spacing w:after="0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Information</w:t>
            </w:r>
          </w:p>
        </w:tc>
        <w:tc>
          <w:tcPr>
            <w:tcW w:w="1187" w:type="pct"/>
            <w:shd w:val="clear" w:color="auto" w:fill="3D8521"/>
            <w:vAlign w:val="center"/>
          </w:tcPr>
          <w:p w:rsidR="00861318" w:rsidRPr="00861318" w:rsidRDefault="00861318" w:rsidP="00861318">
            <w:pPr>
              <w:spacing w:after="0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478" w:type="pct"/>
            <w:shd w:val="clear" w:color="auto" w:fill="3D8521"/>
            <w:vAlign w:val="center"/>
          </w:tcPr>
          <w:p w:rsidR="00861318" w:rsidRPr="00861318" w:rsidRDefault="00861318" w:rsidP="0086131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Status</w:t>
            </w:r>
            <w:r>
              <w:rPr>
                <w:b/>
                <w:color w:val="FFFFFF" w:themeColor="background1"/>
              </w:rPr>
              <w:br/>
            </w:r>
            <w:r w:rsidRPr="00861318">
              <w:rPr>
                <w:color w:val="FFFFFF" w:themeColor="background1"/>
                <w:sz w:val="20"/>
              </w:rPr>
              <w:t>(requirements met/not met)</w:t>
            </w: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Full name of applicant/licensee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2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 xml:space="preserve">Statutory declaration that proposed licensee is a fit and proper person 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3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Conviction check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4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Contact details of key contact person for the application and position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5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NEPT Service name, any ABN  and address of central office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 xml:space="preserve"> 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6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Details of any company ownership and directors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  <w:rPr>
                <w:i/>
              </w:rPr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7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 xml:space="preserve">Details of any partnership ownership 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8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Details of any trust ownership and beneficiaries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9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Types of vehicle to be used for NEPT (motor vehicle /aircraft/marine craft)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10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Vehicle livery and signage approved by Secretary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11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Details of fleet (model &amp; make, date of manufacture date, registration number)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12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Vehicle Inspection results if &gt;5 years old or has travelled &gt;200,000 km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13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Details of any vehicle lease agreement(s)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14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Evidence vehicles are properly equipped and comply with AS/NZS 3551:2004 and AS/NZS 4535:1999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lastRenderedPageBreak/>
              <w:t>15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Inventory of equipment in each vehicle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16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Whether or not the service will transport children aged 2-14 years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17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The maximum number of children to be transported in a vehicle at any one time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18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Special arrangements for transporting children (clinical escort, child restraints and Working with Vulnerable People Registration endorsement)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19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Satisfactorily completed Form 3 - Fitness and Probity Checks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20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Infection Control Policy and Procedures reviewed by TIPCU and final report received and filed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21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Public liability (min $10 million) and professional indemnity (min $5 million) insurance cover certificate of currency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22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NEPT crew positions, percentages FTE and statements of duties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23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List of staff and their qualifications and experience to provide NEPT services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24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Requirements for staff immunisation met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  <w:tr w:rsidR="00861318" w:rsidRPr="00861318" w:rsidTr="005E0898">
        <w:trPr>
          <w:trHeight w:val="567"/>
        </w:trPr>
        <w:tc>
          <w:tcPr>
            <w:tcW w:w="190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25</w:t>
            </w:r>
          </w:p>
        </w:tc>
        <w:tc>
          <w:tcPr>
            <w:tcW w:w="1958" w:type="pct"/>
          </w:tcPr>
          <w:p w:rsidR="00861318" w:rsidRPr="00861318" w:rsidRDefault="00861318" w:rsidP="00861318">
            <w:pPr>
              <w:pStyle w:val="TableText"/>
            </w:pPr>
            <w:r w:rsidRPr="00861318">
              <w:t>Clinical Governance Arrangements (Form 5 satisfactorily completed with required attachments and approved by Regulation Unit – detailed in table below)</w:t>
            </w: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1187" w:type="pct"/>
          </w:tcPr>
          <w:p w:rsidR="00861318" w:rsidRPr="00861318" w:rsidRDefault="00861318" w:rsidP="00861318">
            <w:pPr>
              <w:pStyle w:val="TableText"/>
            </w:pPr>
          </w:p>
        </w:tc>
        <w:tc>
          <w:tcPr>
            <w:tcW w:w="478" w:type="pct"/>
          </w:tcPr>
          <w:p w:rsidR="00861318" w:rsidRPr="00861318" w:rsidRDefault="00861318" w:rsidP="00861318">
            <w:pPr>
              <w:pStyle w:val="TableText"/>
            </w:pPr>
          </w:p>
        </w:tc>
      </w:tr>
    </w:tbl>
    <w:p w:rsidR="00861318" w:rsidRDefault="00861318" w:rsidP="005E0898">
      <w:bookmarkStart w:id="2" w:name="_Toc449908"/>
      <w:bookmarkStart w:id="3" w:name="_Toc859657"/>
    </w:p>
    <w:p w:rsidR="00861318" w:rsidRPr="005E0898" w:rsidRDefault="00861318" w:rsidP="005E0898">
      <w:r w:rsidRPr="005E0898">
        <w:br w:type="page"/>
      </w:r>
    </w:p>
    <w:p w:rsidR="00861318" w:rsidRPr="00861318" w:rsidRDefault="00861318" w:rsidP="00861318">
      <w:pPr>
        <w:pStyle w:val="Heading1"/>
      </w:pPr>
      <w:r w:rsidRPr="00861318">
        <w:lastRenderedPageBreak/>
        <w:t>Minimum Documentation Required on Clinical Governance Arrangements</w:t>
      </w:r>
      <w:bookmarkEnd w:id="2"/>
      <w:bookmarkEnd w:id="3"/>
      <w:r w:rsidRPr="00861318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Minimum Documentation Required on Clinical Governance Arrangements "/>
        <w:tblDescription w:val="Minimum Documentation Required on Clinical Governance Arrangements "/>
      </w:tblPr>
      <w:tblGrid>
        <w:gridCol w:w="548"/>
        <w:gridCol w:w="5693"/>
        <w:gridCol w:w="3459"/>
        <w:gridCol w:w="3459"/>
        <w:gridCol w:w="1401"/>
      </w:tblGrid>
      <w:tr w:rsidR="00861318" w:rsidRPr="00861318" w:rsidTr="005E0898">
        <w:trPr>
          <w:trHeight w:val="567"/>
          <w:tblHeader/>
        </w:trPr>
        <w:tc>
          <w:tcPr>
            <w:tcW w:w="188" w:type="pct"/>
            <w:shd w:val="clear" w:color="auto" w:fill="3D8521"/>
            <w:vAlign w:val="center"/>
          </w:tcPr>
          <w:p w:rsidR="00861318" w:rsidRPr="00861318" w:rsidRDefault="00861318" w:rsidP="00A3276A">
            <w:pPr>
              <w:spacing w:after="0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No</w:t>
            </w:r>
          </w:p>
        </w:tc>
        <w:tc>
          <w:tcPr>
            <w:tcW w:w="1955" w:type="pct"/>
            <w:shd w:val="clear" w:color="auto" w:fill="3D8521"/>
            <w:vAlign w:val="center"/>
          </w:tcPr>
          <w:p w:rsidR="00861318" w:rsidRPr="00861318" w:rsidRDefault="00861318" w:rsidP="00A3276A">
            <w:pPr>
              <w:spacing w:after="0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Criteria</w:t>
            </w:r>
          </w:p>
        </w:tc>
        <w:tc>
          <w:tcPr>
            <w:tcW w:w="1188" w:type="pct"/>
            <w:shd w:val="clear" w:color="auto" w:fill="3D8521"/>
            <w:vAlign w:val="center"/>
          </w:tcPr>
          <w:p w:rsidR="00861318" w:rsidRPr="00861318" w:rsidRDefault="00861318" w:rsidP="00A3276A">
            <w:pPr>
              <w:spacing w:after="0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Information</w:t>
            </w:r>
          </w:p>
        </w:tc>
        <w:tc>
          <w:tcPr>
            <w:tcW w:w="1188" w:type="pct"/>
            <w:shd w:val="clear" w:color="auto" w:fill="3D8521"/>
            <w:vAlign w:val="center"/>
          </w:tcPr>
          <w:p w:rsidR="00861318" w:rsidRPr="00861318" w:rsidRDefault="00861318" w:rsidP="00A3276A">
            <w:pPr>
              <w:spacing w:after="0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482" w:type="pct"/>
            <w:shd w:val="clear" w:color="auto" w:fill="3D8521"/>
            <w:vAlign w:val="center"/>
          </w:tcPr>
          <w:p w:rsidR="00861318" w:rsidRPr="00861318" w:rsidRDefault="00861318" w:rsidP="00A3276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61318">
              <w:rPr>
                <w:b/>
                <w:color w:val="FFFFFF" w:themeColor="background1"/>
              </w:rPr>
              <w:t>Status</w:t>
            </w:r>
            <w:r>
              <w:rPr>
                <w:b/>
                <w:color w:val="FFFFFF" w:themeColor="background1"/>
              </w:rPr>
              <w:br/>
            </w:r>
            <w:r w:rsidRPr="00861318">
              <w:rPr>
                <w:color w:val="FFFFFF" w:themeColor="background1"/>
                <w:sz w:val="20"/>
              </w:rPr>
              <w:t>(requirements met/not met)</w:t>
            </w: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1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Clinical Governance committee</w:t>
            </w:r>
          </w:p>
        </w:tc>
        <w:tc>
          <w:tcPr>
            <w:tcW w:w="1188" w:type="pct"/>
          </w:tcPr>
          <w:p w:rsidR="00861318" w:rsidRPr="00080C11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2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 xml:space="preserve">A credentialing mechanism for staff 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Pr="003F651D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3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Staff education and training policy &amp; program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4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Clinical Practice Guidelines for the NEPT service, referenced and dated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5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Infection Control Policy and Procedures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6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A mechanism for reporting adverse events, near misses and sentinel events involving a patient while being provided NEPT services; and a standard form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7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Policies/procedures for reporting WHS injuries or incidents involving a staff member; and a standard form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8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Policies and procedures for reporting complaints, a mechanism for management and investigation of complaints; and a standard form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9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Quality assurance plan, policies or programs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10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Clinical case audit and review process, and associated tools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  <w:tr w:rsidR="00861318" w:rsidTr="005E0898">
        <w:trPr>
          <w:trHeight w:val="567"/>
        </w:trPr>
        <w:tc>
          <w:tcPr>
            <w:tcW w:w="188" w:type="pct"/>
          </w:tcPr>
          <w:p w:rsidR="00861318" w:rsidRDefault="00861318" w:rsidP="00861318">
            <w:pPr>
              <w:pStyle w:val="TableText"/>
            </w:pPr>
            <w:r>
              <w:t>11</w:t>
            </w:r>
          </w:p>
        </w:tc>
        <w:tc>
          <w:tcPr>
            <w:tcW w:w="1955" w:type="pct"/>
          </w:tcPr>
          <w:p w:rsidR="00861318" w:rsidRDefault="00861318" w:rsidP="00861318">
            <w:pPr>
              <w:pStyle w:val="TableText"/>
            </w:pPr>
            <w:r>
              <w:t>Quality improvement plan</w:t>
            </w: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1188" w:type="pct"/>
          </w:tcPr>
          <w:p w:rsidR="00861318" w:rsidRDefault="00861318" w:rsidP="00861318">
            <w:pPr>
              <w:pStyle w:val="TableText"/>
            </w:pPr>
          </w:p>
        </w:tc>
        <w:tc>
          <w:tcPr>
            <w:tcW w:w="482" w:type="pct"/>
          </w:tcPr>
          <w:p w:rsidR="00861318" w:rsidRDefault="00861318" w:rsidP="00861318">
            <w:pPr>
              <w:pStyle w:val="TableText"/>
            </w:pPr>
          </w:p>
        </w:tc>
      </w:tr>
    </w:tbl>
    <w:p w:rsidR="00683762" w:rsidRPr="00861318" w:rsidRDefault="00683762" w:rsidP="00861318"/>
    <w:sectPr w:rsidR="00683762" w:rsidRPr="00861318" w:rsidSect="00861318">
      <w:footerReference w:type="default" r:id="rId13"/>
      <w:pgSz w:w="16838" w:h="11906" w:orient="landscape" w:code="9"/>
      <w:pgMar w:top="737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DB" w:rsidRDefault="00E61BDB" w:rsidP="00A9743F">
      <w:r>
        <w:separator/>
      </w:r>
    </w:p>
  </w:endnote>
  <w:endnote w:type="continuationSeparator" w:id="0">
    <w:p w:rsidR="00E61BDB" w:rsidRDefault="00E61BDB" w:rsidP="00A9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28" w:rsidRPr="00982528" w:rsidRDefault="005E0898" w:rsidP="00955445">
    <w:pPr>
      <w:spacing w:after="0" w:line="240" w:lineRule="auto"/>
      <w:ind w:right="-567" w:hanging="567"/>
      <w:rPr>
        <w:rFonts w:asciiTheme="minorHAnsi" w:hAnsiTheme="minorHAnsi"/>
      </w:rPr>
    </w:pPr>
    <w:r w:rsidRPr="00982528">
      <w:rPr>
        <w:rFonts w:asciiTheme="minorHAnsi" w:hAnsiTheme="minorHAnsi"/>
        <w:noProof/>
        <w:lang w:eastAsia="en-AU"/>
      </w:rPr>
      <w:drawing>
        <wp:anchor distT="0" distB="0" distL="114300" distR="114300" simplePos="0" relativeHeight="251677696" behindDoc="1" locked="0" layoutInCell="1" allowOverlap="1" wp14:anchorId="01ED983E" wp14:editId="12F62345">
          <wp:simplePos x="0" y="0"/>
          <wp:positionH relativeFrom="margin">
            <wp:posOffset>4738370</wp:posOffset>
          </wp:positionH>
          <wp:positionV relativeFrom="margin">
            <wp:posOffset>9144635</wp:posOffset>
          </wp:positionV>
          <wp:extent cx="1742400" cy="633600"/>
          <wp:effectExtent l="0" t="0" r="0" b="0"/>
          <wp:wrapNone/>
          <wp:docPr id="3" name="Picture 3" descr="Tasmanian Government Logo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6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318" w:rsidRPr="00982528">
      <w:rPr>
        <w:rFonts w:asciiTheme="minorHAnsi" w:hAnsiTheme="minorHAnsi"/>
        <w:noProof/>
        <w:lang w:eastAsia="en-AU"/>
      </w:rPr>
      <w:drawing>
        <wp:anchor distT="0" distB="0" distL="114300" distR="114300" simplePos="0" relativeHeight="251672063" behindDoc="1" locked="0" layoutInCell="1" allowOverlap="1" wp14:anchorId="09479628" wp14:editId="1A58425E">
          <wp:simplePos x="0" y="0"/>
          <wp:positionH relativeFrom="margin">
            <wp:posOffset>7870825</wp:posOffset>
          </wp:positionH>
          <wp:positionV relativeFrom="margin">
            <wp:posOffset>6062980</wp:posOffset>
          </wp:positionV>
          <wp:extent cx="1742400" cy="633600"/>
          <wp:effectExtent l="0" t="0" r="0" b="0"/>
          <wp:wrapNone/>
          <wp:docPr id="1" name="Picture 1" descr="Tasmanian Government Logo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6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528" w:rsidRPr="00982528">
      <w:rPr>
        <w:rFonts w:asciiTheme="minorHAnsi" w:hAnsiTheme="minorHAnsi"/>
      </w:rPr>
      <w:t>Regulation Unit</w:t>
    </w:r>
    <w:r w:rsidR="00982528" w:rsidRPr="00982528">
      <w:rPr>
        <w:rFonts w:asciiTheme="minorHAnsi" w:hAnsiTheme="minorHAnsi"/>
        <w:noProof/>
        <w:lang w:eastAsia="en-AU"/>
      </w:rPr>
      <w:t xml:space="preserve"> </w:t>
    </w:r>
    <w:r w:rsidR="00982528" w:rsidRPr="00982528">
      <w:rPr>
        <w:rFonts w:asciiTheme="minorHAnsi" w:hAnsiTheme="minorHAnsi"/>
      </w:rPr>
      <w:t xml:space="preserve"> </w:t>
    </w:r>
  </w:p>
  <w:p w:rsidR="00982528" w:rsidRPr="00982528" w:rsidRDefault="00982528" w:rsidP="00955445">
    <w:pPr>
      <w:spacing w:after="0" w:line="240" w:lineRule="auto"/>
      <w:ind w:right="-567" w:hanging="567"/>
      <w:rPr>
        <w:rFonts w:asciiTheme="minorHAnsi" w:hAnsiTheme="minorHAnsi"/>
      </w:rPr>
    </w:pPr>
    <w:r w:rsidRPr="00982528">
      <w:rPr>
        <w:rFonts w:asciiTheme="minorHAnsi" w:hAnsiTheme="minorHAnsi"/>
      </w:rPr>
      <w:t>Department of Health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98" w:rsidRPr="00982528" w:rsidRDefault="005E0898" w:rsidP="00955445">
    <w:pPr>
      <w:spacing w:after="0" w:line="240" w:lineRule="auto"/>
      <w:ind w:right="-567" w:hanging="567"/>
      <w:rPr>
        <w:rFonts w:asciiTheme="minorHAnsi" w:hAnsiTheme="minorHAnsi"/>
      </w:rPr>
    </w:pPr>
    <w:r w:rsidRPr="00982528">
      <w:rPr>
        <w:rFonts w:asciiTheme="minorHAnsi" w:hAnsiTheme="minorHAnsi"/>
        <w:noProof/>
        <w:lang w:eastAsia="en-AU"/>
      </w:rPr>
      <w:drawing>
        <wp:anchor distT="0" distB="0" distL="114300" distR="114300" simplePos="0" relativeHeight="251675648" behindDoc="1" locked="0" layoutInCell="1" allowOverlap="1" wp14:anchorId="5C186F34" wp14:editId="306F0EE2">
          <wp:simplePos x="0" y="0"/>
          <wp:positionH relativeFrom="margin">
            <wp:posOffset>7870825</wp:posOffset>
          </wp:positionH>
          <wp:positionV relativeFrom="margin">
            <wp:posOffset>6062980</wp:posOffset>
          </wp:positionV>
          <wp:extent cx="1742400" cy="633600"/>
          <wp:effectExtent l="0" t="0" r="0" b="0"/>
          <wp:wrapNone/>
          <wp:docPr id="2" name="Picture 2" descr="Tasmanian Government Logo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6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528">
      <w:rPr>
        <w:rFonts w:asciiTheme="minorHAnsi" w:hAnsiTheme="minorHAnsi"/>
      </w:rPr>
      <w:t>Regulation Unit</w:t>
    </w:r>
    <w:r w:rsidRPr="00982528">
      <w:rPr>
        <w:rFonts w:asciiTheme="minorHAnsi" w:hAnsiTheme="minorHAnsi"/>
        <w:noProof/>
        <w:lang w:eastAsia="en-AU"/>
      </w:rPr>
      <w:t xml:space="preserve"> </w:t>
    </w:r>
    <w:r w:rsidRPr="00982528">
      <w:rPr>
        <w:rFonts w:asciiTheme="minorHAnsi" w:hAnsiTheme="minorHAnsi"/>
      </w:rPr>
      <w:t xml:space="preserve"> </w:t>
    </w:r>
  </w:p>
  <w:p w:rsidR="005E0898" w:rsidRPr="00982528" w:rsidRDefault="005E0898" w:rsidP="00955445">
    <w:pPr>
      <w:spacing w:after="0" w:line="240" w:lineRule="auto"/>
      <w:ind w:right="-567" w:hanging="567"/>
      <w:rPr>
        <w:rFonts w:asciiTheme="minorHAnsi" w:hAnsiTheme="minorHAnsi"/>
      </w:rPr>
    </w:pPr>
    <w:r w:rsidRPr="00982528">
      <w:rPr>
        <w:rFonts w:asciiTheme="minorHAnsi" w:hAnsiTheme="minorHAnsi"/>
      </w:rPr>
      <w:t>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DB" w:rsidRDefault="00E61BDB" w:rsidP="00A9743F">
      <w:r>
        <w:separator/>
      </w:r>
    </w:p>
  </w:footnote>
  <w:footnote w:type="continuationSeparator" w:id="0">
    <w:p w:rsidR="00E61BDB" w:rsidRDefault="00E61BDB" w:rsidP="00A9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95" w:rsidRDefault="00223BD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9709" o:spid="_x0000_s2071" type="#_x0000_t75" style="position:absolute;margin-left:0;margin-top:0;width:774.25pt;height:1094.7pt;z-index:-251643904;mso-position-horizontal:center;mso-position-horizontal-relative:margin;mso-position-vertical:center;mso-position-vertical-relative:margin" o:allowincell="f">
          <v:imagedata r:id="rId1" o:title="NEPT forms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22" w:rsidRDefault="00223BD2" w:rsidP="00955445">
    <w:pPr>
      <w:spacing w:after="0" w:line="240" w:lineRule="auto"/>
      <w:jc w:val="right"/>
      <w:rPr>
        <w:b/>
        <w:bCs/>
        <w:color w:val="FFFFFF" w:themeColor="background1"/>
        <w:sz w:val="20"/>
        <w:szCs w:val="20"/>
      </w:rPr>
    </w:pPr>
    <w:r>
      <w:rPr>
        <w:b/>
        <w:bCs/>
        <w:noProof/>
        <w:sz w:val="20"/>
        <w:szCs w:val="2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9699" o:spid="_x0000_s2072" type="#_x0000_t75" style="position:absolute;left:0;text-align:left;margin-left:-1in;margin-top:-63pt;width:425.2pt;height:601.2pt;z-index:-251642880;mso-position-horizontal-relative:margin;mso-position-vertical-relative:margin" o:allowincell="f">
          <v:imagedata r:id="rId1" o:title="NEPT forms background"/>
          <w10:wrap anchorx="margin" anchory="margin"/>
        </v:shape>
      </w:pict>
    </w:r>
    <w:r w:rsidR="009A0568">
      <w:rPr>
        <w:b/>
        <w:bCs/>
        <w:sz w:val="20"/>
        <w:szCs w:val="20"/>
      </w:rPr>
      <w:t xml:space="preserve">FORM </w:t>
    </w:r>
    <w:r w:rsidR="00861318">
      <w:rPr>
        <w:b/>
        <w:bCs/>
        <w:sz w:val="20"/>
        <w:szCs w:val="20"/>
      </w:rP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95" w:rsidRDefault="00223BD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9708" o:spid="_x0000_s2070" type="#_x0000_t75" style="position:absolute;margin-left:0;margin-top:0;width:774.25pt;height:1094.7pt;z-index:-251644928;mso-position-horizontal:center;mso-position-horizontal-relative:margin;mso-position-vertical:center;mso-position-vertical-relative:margin" o:allowincell="f">
          <v:imagedata r:id="rId1" o:title="NEPT forms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94E"/>
    <w:multiLevelType w:val="multilevel"/>
    <w:tmpl w:val="25186980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AA455C"/>
    <w:multiLevelType w:val="multilevel"/>
    <w:tmpl w:val="D9D6A62C"/>
    <w:styleLink w:val="NumberedListDoH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2" w15:restartNumberingAfterBreak="0">
    <w:nsid w:val="38F85442"/>
    <w:multiLevelType w:val="multilevel"/>
    <w:tmpl w:val="90046A1E"/>
    <w:lvl w:ilvl="0">
      <w:start w:val="1"/>
      <w:numFmt w:val="bullet"/>
      <w:pStyle w:val="BulletedLis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pStyle w:val="BulletedListLevel2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BulletedListLevel3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4253255B"/>
    <w:multiLevelType w:val="multilevel"/>
    <w:tmpl w:val="CDF25DAC"/>
    <w:lvl w:ilvl="0">
      <w:start w:val="1"/>
      <w:numFmt w:val="decimal"/>
      <w:pStyle w:val="NumberedListStyl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54934E3B"/>
    <w:multiLevelType w:val="multilevel"/>
    <w:tmpl w:val="369A1B8C"/>
    <w:styleLink w:val="BulletsDoH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" w15:restartNumberingAfterBreak="0">
    <w:nsid w:val="76557188"/>
    <w:multiLevelType w:val="multilevel"/>
    <w:tmpl w:val="27DA25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pStyle w:val="Heading7"/>
      <w:lvlText w:val="Part 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linkStyle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567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3F"/>
    <w:rsid w:val="0002254A"/>
    <w:rsid w:val="000327F0"/>
    <w:rsid w:val="000365FD"/>
    <w:rsid w:val="000475DF"/>
    <w:rsid w:val="000625D2"/>
    <w:rsid w:val="0006476D"/>
    <w:rsid w:val="00092537"/>
    <w:rsid w:val="00092FAC"/>
    <w:rsid w:val="000B2E9E"/>
    <w:rsid w:val="000E057A"/>
    <w:rsid w:val="000E4422"/>
    <w:rsid w:val="000F1C5D"/>
    <w:rsid w:val="000F2888"/>
    <w:rsid w:val="00126127"/>
    <w:rsid w:val="00146CDB"/>
    <w:rsid w:val="001536DC"/>
    <w:rsid w:val="001539EA"/>
    <w:rsid w:val="0017146D"/>
    <w:rsid w:val="00176E8A"/>
    <w:rsid w:val="001A1342"/>
    <w:rsid w:val="001B0EAA"/>
    <w:rsid w:val="001B2619"/>
    <w:rsid w:val="001B390B"/>
    <w:rsid w:val="001E13BC"/>
    <w:rsid w:val="002020B7"/>
    <w:rsid w:val="00204EC1"/>
    <w:rsid w:val="00223BD2"/>
    <w:rsid w:val="00290FE3"/>
    <w:rsid w:val="002931EF"/>
    <w:rsid w:val="002A3A08"/>
    <w:rsid w:val="002B474B"/>
    <w:rsid w:val="002E2D3D"/>
    <w:rsid w:val="002E6D0F"/>
    <w:rsid w:val="002F1B86"/>
    <w:rsid w:val="00314C36"/>
    <w:rsid w:val="0033211B"/>
    <w:rsid w:val="00334B16"/>
    <w:rsid w:val="00343D0A"/>
    <w:rsid w:val="003556D7"/>
    <w:rsid w:val="00375798"/>
    <w:rsid w:val="00384274"/>
    <w:rsid w:val="003850DE"/>
    <w:rsid w:val="003A6679"/>
    <w:rsid w:val="003B49BD"/>
    <w:rsid w:val="003C173C"/>
    <w:rsid w:val="003C62A4"/>
    <w:rsid w:val="003E771F"/>
    <w:rsid w:val="003F230E"/>
    <w:rsid w:val="003F2C66"/>
    <w:rsid w:val="004100B4"/>
    <w:rsid w:val="00456C9C"/>
    <w:rsid w:val="004712F5"/>
    <w:rsid w:val="00480084"/>
    <w:rsid w:val="00480FED"/>
    <w:rsid w:val="00484339"/>
    <w:rsid w:val="004916EC"/>
    <w:rsid w:val="004952AA"/>
    <w:rsid w:val="004952BB"/>
    <w:rsid w:val="004A2E2E"/>
    <w:rsid w:val="004A3836"/>
    <w:rsid w:val="004E350A"/>
    <w:rsid w:val="004E5929"/>
    <w:rsid w:val="004E7844"/>
    <w:rsid w:val="0050508F"/>
    <w:rsid w:val="00513582"/>
    <w:rsid w:val="00517097"/>
    <w:rsid w:val="0052682A"/>
    <w:rsid w:val="00541227"/>
    <w:rsid w:val="00567812"/>
    <w:rsid w:val="005870A9"/>
    <w:rsid w:val="00591E93"/>
    <w:rsid w:val="00596458"/>
    <w:rsid w:val="005B6B53"/>
    <w:rsid w:val="005C1B73"/>
    <w:rsid w:val="005C4C40"/>
    <w:rsid w:val="005C57E1"/>
    <w:rsid w:val="005E0898"/>
    <w:rsid w:val="005E19A1"/>
    <w:rsid w:val="005E7DFA"/>
    <w:rsid w:val="005F1FEE"/>
    <w:rsid w:val="00606151"/>
    <w:rsid w:val="00623766"/>
    <w:rsid w:val="00625BF9"/>
    <w:rsid w:val="00646A6F"/>
    <w:rsid w:val="006734D2"/>
    <w:rsid w:val="00683762"/>
    <w:rsid w:val="006A1120"/>
    <w:rsid w:val="006C6C21"/>
    <w:rsid w:val="006E608A"/>
    <w:rsid w:val="006F6E48"/>
    <w:rsid w:val="00701ED8"/>
    <w:rsid w:val="00702331"/>
    <w:rsid w:val="00716F19"/>
    <w:rsid w:val="00717324"/>
    <w:rsid w:val="007242A2"/>
    <w:rsid w:val="00724B8E"/>
    <w:rsid w:val="00743BC8"/>
    <w:rsid w:val="007472B9"/>
    <w:rsid w:val="0076131D"/>
    <w:rsid w:val="00762D05"/>
    <w:rsid w:val="00773B98"/>
    <w:rsid w:val="007C6E22"/>
    <w:rsid w:val="007E051B"/>
    <w:rsid w:val="00856731"/>
    <w:rsid w:val="00861318"/>
    <w:rsid w:val="00872AED"/>
    <w:rsid w:val="00872E59"/>
    <w:rsid w:val="00876FF6"/>
    <w:rsid w:val="00884098"/>
    <w:rsid w:val="00900D71"/>
    <w:rsid w:val="00917EBE"/>
    <w:rsid w:val="00943B46"/>
    <w:rsid w:val="00951FED"/>
    <w:rsid w:val="00955445"/>
    <w:rsid w:val="00956B28"/>
    <w:rsid w:val="009571F4"/>
    <w:rsid w:val="00963C8A"/>
    <w:rsid w:val="00975E69"/>
    <w:rsid w:val="00982528"/>
    <w:rsid w:val="00992626"/>
    <w:rsid w:val="009A0568"/>
    <w:rsid w:val="009A6B9E"/>
    <w:rsid w:val="009B1987"/>
    <w:rsid w:val="009E043F"/>
    <w:rsid w:val="009E5914"/>
    <w:rsid w:val="00A51645"/>
    <w:rsid w:val="00A56BF4"/>
    <w:rsid w:val="00A56DD4"/>
    <w:rsid w:val="00A74B35"/>
    <w:rsid w:val="00A7510B"/>
    <w:rsid w:val="00A9743F"/>
    <w:rsid w:val="00AA1F49"/>
    <w:rsid w:val="00AA20EB"/>
    <w:rsid w:val="00AA5A97"/>
    <w:rsid w:val="00AC1715"/>
    <w:rsid w:val="00AD6303"/>
    <w:rsid w:val="00AD77F9"/>
    <w:rsid w:val="00AE6FBC"/>
    <w:rsid w:val="00B07B91"/>
    <w:rsid w:val="00B13948"/>
    <w:rsid w:val="00B2158B"/>
    <w:rsid w:val="00B317FF"/>
    <w:rsid w:val="00B345CF"/>
    <w:rsid w:val="00B37774"/>
    <w:rsid w:val="00B41754"/>
    <w:rsid w:val="00B61F1F"/>
    <w:rsid w:val="00B67ECF"/>
    <w:rsid w:val="00B85979"/>
    <w:rsid w:val="00BA59FA"/>
    <w:rsid w:val="00BC3503"/>
    <w:rsid w:val="00C078EE"/>
    <w:rsid w:val="00C135B8"/>
    <w:rsid w:val="00C272CE"/>
    <w:rsid w:val="00C31246"/>
    <w:rsid w:val="00C50ED0"/>
    <w:rsid w:val="00C603AB"/>
    <w:rsid w:val="00C61982"/>
    <w:rsid w:val="00C7130F"/>
    <w:rsid w:val="00C75755"/>
    <w:rsid w:val="00C81FA6"/>
    <w:rsid w:val="00CB2EA0"/>
    <w:rsid w:val="00CB519D"/>
    <w:rsid w:val="00CB6331"/>
    <w:rsid w:val="00CC22BD"/>
    <w:rsid w:val="00CC6B93"/>
    <w:rsid w:val="00CF559F"/>
    <w:rsid w:val="00D0003E"/>
    <w:rsid w:val="00D04B60"/>
    <w:rsid w:val="00D31257"/>
    <w:rsid w:val="00D42168"/>
    <w:rsid w:val="00D46B3B"/>
    <w:rsid w:val="00D50544"/>
    <w:rsid w:val="00D526E7"/>
    <w:rsid w:val="00D573E5"/>
    <w:rsid w:val="00D84536"/>
    <w:rsid w:val="00D87785"/>
    <w:rsid w:val="00D93806"/>
    <w:rsid w:val="00D97CDD"/>
    <w:rsid w:val="00DA062C"/>
    <w:rsid w:val="00DA6395"/>
    <w:rsid w:val="00DB2D37"/>
    <w:rsid w:val="00DB2F18"/>
    <w:rsid w:val="00DB6EF7"/>
    <w:rsid w:val="00DC1FD0"/>
    <w:rsid w:val="00DC709F"/>
    <w:rsid w:val="00E04C58"/>
    <w:rsid w:val="00E36754"/>
    <w:rsid w:val="00E61BDB"/>
    <w:rsid w:val="00E6629F"/>
    <w:rsid w:val="00E66AD2"/>
    <w:rsid w:val="00E92F40"/>
    <w:rsid w:val="00E93F30"/>
    <w:rsid w:val="00EB5A26"/>
    <w:rsid w:val="00EC1ACD"/>
    <w:rsid w:val="00EE68EC"/>
    <w:rsid w:val="00EF0BB3"/>
    <w:rsid w:val="00F274DC"/>
    <w:rsid w:val="00F30463"/>
    <w:rsid w:val="00F60FA7"/>
    <w:rsid w:val="00F62825"/>
    <w:rsid w:val="00F64A92"/>
    <w:rsid w:val="00F72CE4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5:docId w15:val="{81A858D0-2114-4A0E-9E88-85DF029E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D2"/>
    <w:pPr>
      <w:spacing w:after="140" w:line="300" w:lineRule="atLeast"/>
    </w:pPr>
    <w:rPr>
      <w:rFonts w:ascii="Gill Sans MT" w:eastAsiaTheme="minorHAnsi" w:hAnsi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23BD2"/>
    <w:pPr>
      <w:keepNext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23BD2"/>
    <w:pPr>
      <w:keepNext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23BD2"/>
    <w:pPr>
      <w:keepNext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223BD2"/>
    <w:pPr>
      <w:keepNext/>
      <w:spacing w:before="4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223BD2"/>
    <w:pPr>
      <w:spacing w:before="240" w:after="60" w:line="30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rsid w:val="00223BD2"/>
    <w:pPr>
      <w:spacing w:before="240" w:after="60" w:line="30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rsid w:val="00223BD2"/>
    <w:pPr>
      <w:numPr>
        <w:ilvl w:val="6"/>
        <w:numId w:val="4"/>
      </w:numPr>
      <w:spacing w:before="240" w:after="60" w:line="300" w:lineRule="exac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rsid w:val="00223BD2"/>
    <w:pPr>
      <w:numPr>
        <w:ilvl w:val="7"/>
        <w:numId w:val="4"/>
      </w:numPr>
      <w:spacing w:before="240" w:after="60" w:line="300" w:lineRule="exact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rsid w:val="00223BD2"/>
    <w:pPr>
      <w:numPr>
        <w:ilvl w:val="8"/>
        <w:numId w:val="4"/>
      </w:numPr>
      <w:spacing w:before="240" w:after="60" w:line="300" w:lineRule="exac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223B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3BD2"/>
  </w:style>
  <w:style w:type="paragraph" w:styleId="ListParagraph">
    <w:name w:val="List Paragraph"/>
    <w:basedOn w:val="Normal"/>
    <w:uiPriority w:val="99"/>
    <w:unhideWhenUsed/>
    <w:rsid w:val="00223BD2"/>
    <w:pPr>
      <w:ind w:left="720"/>
      <w:contextualSpacing/>
    </w:pPr>
  </w:style>
  <w:style w:type="paragraph" w:customStyle="1" w:styleId="BulletedListLevel1">
    <w:name w:val="Bulleted List Level 1"/>
    <w:basedOn w:val="ListParagraph"/>
    <w:link w:val="BulletedListLevel1Char"/>
    <w:uiPriority w:val="3"/>
    <w:qFormat/>
    <w:rsid w:val="00223BD2"/>
    <w:pPr>
      <w:numPr>
        <w:numId w:val="1"/>
      </w:numPr>
      <w:contextualSpacing w:val="0"/>
    </w:pPr>
  </w:style>
  <w:style w:type="character" w:customStyle="1" w:styleId="BulletedListLevel1Char">
    <w:name w:val="Bulleted List Level 1 Char"/>
    <w:basedOn w:val="DefaultParagraphFont"/>
    <w:link w:val="BulletedListLevel1"/>
    <w:uiPriority w:val="3"/>
    <w:rsid w:val="00223BD2"/>
    <w:rPr>
      <w:rFonts w:ascii="Gill Sans MT" w:eastAsiaTheme="minorHAnsi" w:hAnsi="Gill Sans MT"/>
      <w:sz w:val="22"/>
      <w:szCs w:val="22"/>
    </w:rPr>
  </w:style>
  <w:style w:type="paragraph" w:customStyle="1" w:styleId="BulletedListLevel2">
    <w:name w:val="Bulleted List Level 2"/>
    <w:basedOn w:val="BulletedListLevel1"/>
    <w:link w:val="BulletedListLevel2Char"/>
    <w:uiPriority w:val="3"/>
    <w:qFormat/>
    <w:rsid w:val="00223BD2"/>
    <w:pPr>
      <w:numPr>
        <w:ilvl w:val="1"/>
      </w:numPr>
    </w:pPr>
    <w:rPr>
      <w:rFonts w:cs="Arial"/>
      <w:snapToGrid w:val="0"/>
    </w:rPr>
  </w:style>
  <w:style w:type="character" w:customStyle="1" w:styleId="BulletedListLevel2Char">
    <w:name w:val="Bulleted List Level 2 Char"/>
    <w:basedOn w:val="BulletedListLevel1Char"/>
    <w:link w:val="BulletedListLevel2"/>
    <w:uiPriority w:val="3"/>
    <w:rsid w:val="00223BD2"/>
    <w:rPr>
      <w:rFonts w:ascii="Gill Sans MT" w:eastAsiaTheme="minorHAnsi" w:hAnsi="Gill Sans MT" w:cs="Arial"/>
      <w:snapToGrid w:val="0"/>
      <w:sz w:val="22"/>
      <w:szCs w:val="22"/>
    </w:rPr>
  </w:style>
  <w:style w:type="paragraph" w:customStyle="1" w:styleId="BulletedListLevel3">
    <w:name w:val="Bulleted List Level 3"/>
    <w:basedOn w:val="BulletedListLevel2"/>
    <w:link w:val="BulletedListLevel3Char"/>
    <w:uiPriority w:val="3"/>
    <w:qFormat/>
    <w:rsid w:val="00223BD2"/>
    <w:pPr>
      <w:numPr>
        <w:ilvl w:val="2"/>
      </w:numPr>
    </w:pPr>
    <w:rPr>
      <w:snapToGrid/>
    </w:rPr>
  </w:style>
  <w:style w:type="character" w:customStyle="1" w:styleId="BulletedListLevel3Char">
    <w:name w:val="Bulleted List Level 3 Char"/>
    <w:basedOn w:val="BulletedListLevel2Char"/>
    <w:link w:val="BulletedListLevel3"/>
    <w:uiPriority w:val="3"/>
    <w:rsid w:val="00223BD2"/>
    <w:rPr>
      <w:rFonts w:ascii="Gill Sans MT" w:eastAsiaTheme="minorHAnsi" w:hAnsi="Gill Sans MT" w:cs="Arial"/>
      <w:snapToGrid/>
      <w:sz w:val="22"/>
      <w:szCs w:val="22"/>
    </w:rPr>
  </w:style>
  <w:style w:type="numbering" w:customStyle="1" w:styleId="BulletsDoH">
    <w:name w:val="Bullets DoH"/>
    <w:uiPriority w:val="99"/>
    <w:rsid w:val="00223BD2"/>
    <w:pPr>
      <w:numPr>
        <w:numId w:val="2"/>
      </w:numPr>
    </w:pPr>
  </w:style>
  <w:style w:type="paragraph" w:customStyle="1" w:styleId="DepartmentAddress">
    <w:name w:val="Department Address"/>
    <w:next w:val="Normal"/>
    <w:qFormat/>
    <w:rsid w:val="00223BD2"/>
    <w:pPr>
      <w:widowControl w:val="0"/>
      <w:suppressAutoHyphens/>
      <w:autoSpaceDE w:val="0"/>
      <w:autoSpaceDN w:val="0"/>
      <w:adjustRightInd w:val="0"/>
      <w:spacing w:after="140" w:line="300" w:lineRule="atLeast"/>
      <w:textAlignment w:val="baseline"/>
    </w:pPr>
    <w:rPr>
      <w:rFonts w:ascii="Gill Sans MT" w:eastAsiaTheme="minorHAnsi" w:hAnsi="Gill Sans MT"/>
      <w:caps/>
      <w:color w:val="000000"/>
      <w:sz w:val="18"/>
      <w:szCs w:val="22"/>
    </w:rPr>
  </w:style>
  <w:style w:type="paragraph" w:customStyle="1" w:styleId="DepartmentTitle">
    <w:name w:val="Department Title"/>
    <w:next w:val="DepartmentAddress"/>
    <w:qFormat/>
    <w:rsid w:val="00223BD2"/>
    <w:pPr>
      <w:spacing w:after="140" w:line="300" w:lineRule="atLeast"/>
    </w:pPr>
    <w:rPr>
      <w:rFonts w:ascii="Gill Sans MT" w:eastAsiaTheme="minorHAnsi" w:hAnsi="Gill Sans MT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rsid w:val="00223BD2"/>
    <w:rPr>
      <w:color w:val="800080"/>
      <w:u w:val="single"/>
    </w:rPr>
  </w:style>
  <w:style w:type="paragraph" w:customStyle="1" w:styleId="Heading1numbered">
    <w:name w:val="Heading 1 (numbered)"/>
    <w:basedOn w:val="Heading1"/>
    <w:next w:val="Normal"/>
    <w:link w:val="Heading1numberedChar"/>
    <w:uiPriority w:val="2"/>
    <w:qFormat/>
    <w:rsid w:val="00223BD2"/>
    <w:pPr>
      <w:pageBreakBefore/>
      <w:numPr>
        <w:numId w:val="3"/>
      </w:numPr>
      <w:spacing w:after="120"/>
    </w:pPr>
    <w:rPr>
      <w:rFonts w:eastAsia="Times New Roman" w:cs="Arial"/>
      <w:snapToGrid w:val="0"/>
      <w:szCs w:val="20"/>
    </w:rPr>
  </w:style>
  <w:style w:type="character" w:customStyle="1" w:styleId="Heading1numberedChar">
    <w:name w:val="Heading 1 (numbered) Char"/>
    <w:basedOn w:val="Heading1Char"/>
    <w:link w:val="Heading1numbered"/>
    <w:uiPriority w:val="2"/>
    <w:rsid w:val="00223BD2"/>
    <w:rPr>
      <w:rFonts w:ascii="Gill Sans MT" w:eastAsia="Times New Roman" w:hAnsi="Gill Sans MT" w:cs="Arial"/>
      <w:b/>
      <w:snapToGrid w:val="0"/>
      <w:sz w:val="40"/>
      <w:szCs w:val="20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2"/>
    <w:qFormat/>
    <w:rsid w:val="00223BD2"/>
    <w:pPr>
      <w:numPr>
        <w:ilvl w:val="1"/>
        <w:numId w:val="3"/>
      </w:numPr>
      <w:spacing w:before="240" w:after="120"/>
    </w:pPr>
    <w:rPr>
      <w:rFonts w:eastAsia="Times New Roman" w:cs="Arial"/>
      <w:bCs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223BD2"/>
    <w:rPr>
      <w:rFonts w:ascii="Gill Sans MT" w:eastAsiaTheme="majorEastAsia" w:hAnsi="Gill Sans MT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23BD2"/>
    <w:rPr>
      <w:rFonts w:ascii="Gill Sans MT" w:eastAsiaTheme="majorEastAsia" w:hAnsi="Gill Sans M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23BD2"/>
    <w:rPr>
      <w:rFonts w:ascii="Gill Sans MT" w:eastAsiaTheme="majorEastAsia" w:hAnsi="Gill Sans MT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23BD2"/>
    <w:rPr>
      <w:rFonts w:ascii="Gill Sans MT" w:eastAsiaTheme="majorEastAsia" w:hAnsi="Gill Sans MT" w:cstheme="majorBidi"/>
      <w:b/>
      <w:iCs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223BD2"/>
    <w:rPr>
      <w:rFonts w:ascii="Gill Sans MT" w:eastAsiaTheme="minorHAnsi" w:hAnsi="Gill Sans MT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223BD2"/>
    <w:rPr>
      <w:rFonts w:ascii="Gill Sans MT" w:eastAsiaTheme="minorHAnsi" w:hAnsi="Gill Sans MT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223BD2"/>
    <w:rPr>
      <w:rFonts w:ascii="Gill Sans MT" w:eastAsiaTheme="minorHAnsi" w:hAnsi="Gill Sans MT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223BD2"/>
    <w:rPr>
      <w:rFonts w:ascii="Gill Sans MT" w:eastAsiaTheme="minorHAnsi" w:hAnsi="Gill Sans MT"/>
      <w:i/>
      <w:iCs/>
      <w:sz w:val="24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223BD2"/>
    <w:rPr>
      <w:rFonts w:ascii="Gill Sans MT" w:eastAsiaTheme="minorHAnsi" w:hAnsi="Gill Sans MT" w:cs="Arial"/>
      <w:sz w:val="22"/>
      <w:szCs w:val="22"/>
    </w:rPr>
  </w:style>
  <w:style w:type="character" w:customStyle="1" w:styleId="Heading2numberedChar">
    <w:name w:val="Heading 2 (numbered) Char"/>
    <w:basedOn w:val="Heading2Char"/>
    <w:link w:val="Heading2numbered"/>
    <w:uiPriority w:val="2"/>
    <w:rsid w:val="00223BD2"/>
    <w:rPr>
      <w:rFonts w:ascii="Gill Sans MT" w:eastAsia="Times New Roman" w:hAnsi="Gill Sans MT" w:cs="Arial"/>
      <w:b/>
      <w:bCs/>
      <w:sz w:val="32"/>
      <w:szCs w:val="28"/>
    </w:rPr>
  </w:style>
  <w:style w:type="paragraph" w:customStyle="1" w:styleId="Heading3numbered">
    <w:name w:val="Heading 3 (numbered)"/>
    <w:basedOn w:val="Heading3"/>
    <w:next w:val="Normal"/>
    <w:link w:val="Heading3numberedChar"/>
    <w:uiPriority w:val="2"/>
    <w:qFormat/>
    <w:rsid w:val="00223BD2"/>
    <w:pPr>
      <w:numPr>
        <w:ilvl w:val="2"/>
        <w:numId w:val="3"/>
      </w:numPr>
      <w:spacing w:before="240" w:after="120"/>
    </w:pPr>
    <w:rPr>
      <w:rFonts w:eastAsia="Times New Roman" w:cs="Arial"/>
      <w:bCs/>
      <w:iCs/>
      <w:szCs w:val="28"/>
    </w:rPr>
  </w:style>
  <w:style w:type="character" w:customStyle="1" w:styleId="Heading3numberedChar">
    <w:name w:val="Heading 3 (numbered) Char"/>
    <w:basedOn w:val="Heading3Char"/>
    <w:link w:val="Heading3numbered"/>
    <w:uiPriority w:val="2"/>
    <w:rsid w:val="00223BD2"/>
    <w:rPr>
      <w:rFonts w:ascii="Gill Sans MT" w:eastAsia="Times New Roman" w:hAnsi="Gill Sans MT" w:cs="Arial"/>
      <w:b/>
      <w:bCs/>
      <w:iCs/>
      <w:sz w:val="28"/>
      <w:szCs w:val="28"/>
    </w:rPr>
  </w:style>
  <w:style w:type="paragraph" w:customStyle="1" w:styleId="Heading4numbered">
    <w:name w:val="Heading 4 (numbered)"/>
    <w:basedOn w:val="Heading4"/>
    <w:next w:val="Normal"/>
    <w:link w:val="Heading4numberedChar"/>
    <w:uiPriority w:val="2"/>
    <w:qFormat/>
    <w:rsid w:val="00223BD2"/>
    <w:pPr>
      <w:numPr>
        <w:ilvl w:val="3"/>
        <w:numId w:val="3"/>
      </w:numPr>
      <w:spacing w:before="240" w:after="120"/>
    </w:pPr>
    <w:rPr>
      <w:rFonts w:eastAsia="Times New Roman" w:cs="Times New Roman"/>
      <w:bCs/>
      <w:iCs w:val="0"/>
      <w:lang w:eastAsia="en-AU"/>
    </w:rPr>
  </w:style>
  <w:style w:type="character" w:customStyle="1" w:styleId="Heading4numberedChar">
    <w:name w:val="Heading 4 (numbered) Char"/>
    <w:basedOn w:val="Heading4Char"/>
    <w:link w:val="Heading4numbered"/>
    <w:uiPriority w:val="2"/>
    <w:rsid w:val="00223BD2"/>
    <w:rPr>
      <w:rFonts w:ascii="Gill Sans MT" w:eastAsia="Times New Roman" w:hAnsi="Gill Sans MT" w:cs="Times New Roman"/>
      <w:b/>
      <w:bCs/>
      <w:iCs w:val="0"/>
      <w:sz w:val="24"/>
      <w:szCs w:val="22"/>
      <w:lang w:eastAsia="en-AU"/>
    </w:rPr>
  </w:style>
  <w:style w:type="character" w:styleId="Hyperlink">
    <w:name w:val="Hyperlink"/>
    <w:basedOn w:val="DefaultParagraphFont"/>
    <w:uiPriority w:val="99"/>
    <w:semiHidden/>
    <w:rsid w:val="00223BD2"/>
    <w:rPr>
      <w:color w:val="0000FF"/>
      <w:u w:val="single"/>
    </w:rPr>
  </w:style>
  <w:style w:type="numbering" w:customStyle="1" w:styleId="NumberedListDoH">
    <w:name w:val="Numbered List DoH"/>
    <w:uiPriority w:val="99"/>
    <w:rsid w:val="00223BD2"/>
    <w:pPr>
      <w:numPr>
        <w:numId w:val="5"/>
      </w:numPr>
    </w:pPr>
  </w:style>
  <w:style w:type="paragraph" w:customStyle="1" w:styleId="NumberedListStyle">
    <w:name w:val="Numbered List Style"/>
    <w:basedOn w:val="Normal"/>
    <w:link w:val="NumberedListStyleChar"/>
    <w:uiPriority w:val="4"/>
    <w:qFormat/>
    <w:rsid w:val="00223BD2"/>
    <w:pPr>
      <w:numPr>
        <w:numId w:val="6"/>
      </w:numPr>
    </w:pPr>
    <w:rPr>
      <w:rFonts w:eastAsia="Times New Roman" w:cs="Times New Roman"/>
      <w:szCs w:val="20"/>
    </w:rPr>
  </w:style>
  <w:style w:type="character" w:customStyle="1" w:styleId="NumberedListStyleChar">
    <w:name w:val="Numbered List Style Char"/>
    <w:basedOn w:val="DefaultParagraphFont"/>
    <w:link w:val="NumberedListStyle"/>
    <w:uiPriority w:val="4"/>
    <w:rsid w:val="00223BD2"/>
    <w:rPr>
      <w:rFonts w:ascii="Gill Sans MT" w:eastAsia="Times New Roman" w:hAnsi="Gill Sans MT" w:cs="Times New Roman"/>
      <w:sz w:val="22"/>
      <w:szCs w:val="20"/>
    </w:rPr>
  </w:style>
  <w:style w:type="paragraph" w:customStyle="1" w:styleId="TableText">
    <w:name w:val="Table Text"/>
    <w:basedOn w:val="Normal"/>
    <w:uiPriority w:val="4"/>
    <w:qFormat/>
    <w:rsid w:val="00223BD2"/>
    <w:pPr>
      <w:keepLines/>
      <w:spacing w:after="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5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45"/>
    <w:rPr>
      <w:rFonts w:ascii="Gill Sans MT" w:eastAsiaTheme="minorHAnsi" w:hAnsi="Gill Sans MT"/>
      <w:sz w:val="22"/>
      <w:szCs w:val="22"/>
    </w:rPr>
  </w:style>
  <w:style w:type="table" w:styleId="TableGrid">
    <w:name w:val="Table Grid"/>
    <w:basedOn w:val="TableNormal"/>
    <w:rsid w:val="00D0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61318"/>
    <w:pPr>
      <w:tabs>
        <w:tab w:val="left" w:pos="567"/>
      </w:tabs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861318"/>
    <w:rPr>
      <w:rFonts w:ascii="Gill Sans MT" w:eastAsia="Times New Roman" w:hAnsi="Gill Sans M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T@health.ta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SGOV">
  <a:themeElements>
    <a:clrScheme name="TASGOV">
      <a:dk1>
        <a:sysClr val="windowText" lastClr="000000"/>
      </a:dk1>
      <a:lt1>
        <a:sysClr val="window" lastClr="FFFFFF"/>
      </a:lt1>
      <a:dk2>
        <a:srgbClr val="003052"/>
      </a:dk2>
      <a:lt2>
        <a:srgbClr val="DCD8D1"/>
      </a:lt2>
      <a:accent1>
        <a:srgbClr val="73B8D2"/>
      </a:accent1>
      <a:accent2>
        <a:srgbClr val="DF9E33"/>
      </a:accent2>
      <a:accent3>
        <a:srgbClr val="7A0053"/>
      </a:accent3>
      <a:accent4>
        <a:srgbClr val="F9E057"/>
      </a:accent4>
      <a:accent5>
        <a:srgbClr val="004F8C"/>
      </a:accent5>
      <a:accent6>
        <a:srgbClr val="A2A749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A232-770D-47F8-968E-F88B25B7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</dc:title>
  <dc:subject>NEPT</dc:subject>
  <dc:creator>Goc, Tamlyn J</dc:creator>
  <cp:keywords>NEPT</cp:keywords>
  <cp:lastModifiedBy>Bastion, Marissa</cp:lastModifiedBy>
  <cp:revision>5</cp:revision>
  <cp:lastPrinted>2019-02-07T05:34:00Z</cp:lastPrinted>
  <dcterms:created xsi:type="dcterms:W3CDTF">2019-02-18T05:33:00Z</dcterms:created>
  <dcterms:modified xsi:type="dcterms:W3CDTF">2019-02-18T05:40:00Z</dcterms:modified>
  <cp:category>NEPT</cp:category>
</cp:coreProperties>
</file>