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Spec="center" w:tblpYSpec="center"/>
        <w:tblW w:w="5000" w:type="pct"/>
        <w:tblLook w:val="01E0" w:firstRow="1" w:lastRow="1" w:firstColumn="1" w:lastColumn="1" w:noHBand="0" w:noVBand="0"/>
      </w:tblPr>
      <w:tblGrid>
        <w:gridCol w:w="9638"/>
      </w:tblGrid>
      <w:tr w:rsidR="00FB1F5D" w:rsidRPr="00914911" w:rsidTr="00E34410">
        <w:tc>
          <w:tcPr>
            <w:tcW w:w="5000" w:type="pct"/>
          </w:tcPr>
          <w:p w:rsidR="00856731" w:rsidRPr="00955445" w:rsidRDefault="00856731" w:rsidP="00955445">
            <w:pPr>
              <w:pStyle w:val="Heading1"/>
              <w:spacing w:before="0" w:after="0" w:line="240" w:lineRule="auto"/>
              <w:jc w:val="center"/>
              <w:rPr>
                <w:sz w:val="48"/>
              </w:rPr>
            </w:pPr>
            <w:bookmarkStart w:id="0" w:name="_GoBack"/>
            <w:bookmarkEnd w:id="0"/>
            <w:r w:rsidRPr="00955445">
              <w:rPr>
                <w:sz w:val="48"/>
              </w:rPr>
              <w:t>Non-Emergency Patient Transport</w:t>
            </w:r>
            <w:r w:rsidR="00955445" w:rsidRPr="00955445">
              <w:rPr>
                <w:sz w:val="48"/>
              </w:rPr>
              <w:t xml:space="preserve"> </w:t>
            </w:r>
            <w:r w:rsidR="00955445" w:rsidRPr="00955445">
              <w:rPr>
                <w:sz w:val="48"/>
              </w:rPr>
              <w:br/>
            </w:r>
            <w:r w:rsidRPr="00955445">
              <w:rPr>
                <w:sz w:val="48"/>
              </w:rPr>
              <w:t>Licence Application:</w:t>
            </w:r>
          </w:p>
          <w:p w:rsidR="00FB1F5D" w:rsidRPr="00914911" w:rsidRDefault="00856731" w:rsidP="00955445">
            <w:pPr>
              <w:pStyle w:val="Heading2"/>
              <w:spacing w:before="0" w:line="240" w:lineRule="auto"/>
              <w:jc w:val="center"/>
            </w:pPr>
            <w:r w:rsidRPr="00955445">
              <w:rPr>
                <w:sz w:val="40"/>
              </w:rPr>
              <w:t>Infection Prevention and Control Requirements</w:t>
            </w:r>
          </w:p>
        </w:tc>
      </w:tr>
    </w:tbl>
    <w:p w:rsidR="00FB1F5D" w:rsidRDefault="00FB1F5D" w:rsidP="00FB1F5D">
      <w:r>
        <w:br w:type="page"/>
      </w:r>
    </w:p>
    <w:p w:rsidR="00856731" w:rsidRPr="00856731" w:rsidRDefault="00856731" w:rsidP="00955445">
      <w:pPr>
        <w:pStyle w:val="Heading1"/>
      </w:pPr>
      <w:r w:rsidRPr="00856731">
        <w:lastRenderedPageBreak/>
        <w:t xml:space="preserve">Form </w:t>
      </w:r>
      <w:r>
        <w:t>12</w:t>
      </w:r>
      <w:r w:rsidRPr="00856731">
        <w:t>: Infection Prevention and Control Requirements</w:t>
      </w:r>
    </w:p>
    <w:p w:rsidR="00856731" w:rsidRPr="00856731" w:rsidRDefault="00856731" w:rsidP="00955445">
      <w:pPr>
        <w:pStyle w:val="Heading2"/>
      </w:pPr>
      <w:r>
        <w:t>Executive Summary</w:t>
      </w:r>
    </w:p>
    <w:p w:rsidR="00856731" w:rsidRPr="00856731" w:rsidRDefault="00856731" w:rsidP="00955445">
      <w:r w:rsidRPr="00856731">
        <w:t xml:space="preserve">All Non-Emergency Patient Transport (NEPT) service providers requiring licensing under the </w:t>
      </w:r>
      <w:r w:rsidRPr="00856731">
        <w:rPr>
          <w:i/>
        </w:rPr>
        <w:t>Ambulance Service Act 1982</w:t>
      </w:r>
      <w:r w:rsidRPr="00856731">
        <w:t xml:space="preserve"> are to comply with the standards specified under the </w:t>
      </w:r>
      <w:r w:rsidRPr="00856731">
        <w:rPr>
          <w:i/>
        </w:rPr>
        <w:t xml:space="preserve">Ambulance Service Act 1982 </w:t>
      </w:r>
      <w:r w:rsidRPr="00856731">
        <w:t>and their licence conditions. For infection prevention and control this is in accord</w:t>
      </w:r>
      <w:r>
        <w:t>ance</w:t>
      </w:r>
      <w:r w:rsidRPr="00856731">
        <w:t xml:space="preserve"> with the </w:t>
      </w:r>
      <w:r w:rsidRPr="00856731">
        <w:rPr>
          <w:i/>
        </w:rPr>
        <w:t>Australian Guidelines for the Prevention and Control of Infection in Healthcare (2010)</w:t>
      </w:r>
      <w:r w:rsidRPr="00856731">
        <w:t xml:space="preserve"> developed by the National Health and Medical Research Council in collaboration with the Australian Commission on Safety and Quality in Health</w:t>
      </w:r>
      <w:r>
        <w:t xml:space="preserve"> C</w:t>
      </w:r>
      <w:r w:rsidRPr="00856731">
        <w:t xml:space="preserve">are. </w:t>
      </w:r>
    </w:p>
    <w:p w:rsidR="00856731" w:rsidRPr="00856731" w:rsidRDefault="00856731" w:rsidP="00955445">
      <w:pPr>
        <w:rPr>
          <w:rFonts w:eastAsia="Calibri"/>
        </w:rPr>
      </w:pPr>
      <w:r w:rsidRPr="00856731">
        <w:t>This document provides guidance for NEPT services to ensure appropriate evidence is supplied to support the licensing process. The infection control policy and procedure documents supplied by new applicants and existing NEPT licensee will be assessed by the Tasmanian Infection Prevention and Control</w:t>
      </w:r>
      <w:r>
        <w:t xml:space="preserve"> Unit</w:t>
      </w:r>
      <w:r w:rsidRPr="00856731">
        <w:t xml:space="preserve"> (TIPCU). TIPCU may request changes to documents or for additional documents to be developed. </w:t>
      </w:r>
    </w:p>
    <w:p w:rsidR="00856731" w:rsidRDefault="00856731" w:rsidP="00955445">
      <w:pPr>
        <w:pStyle w:val="Heading2"/>
      </w:pPr>
      <w:r w:rsidRPr="00856731">
        <w:t>Disclaimer</w:t>
      </w:r>
    </w:p>
    <w:p w:rsidR="00856731" w:rsidRDefault="00856731" w:rsidP="00955445">
      <w:r w:rsidRPr="00856731">
        <w:t xml:space="preserve">This process includes assessment and review of documents by TIPCU that are provided by new applicants applying for a licence under the </w:t>
      </w:r>
      <w:r w:rsidRPr="00856731">
        <w:rPr>
          <w:i/>
        </w:rPr>
        <w:t>Ambulance Service Act 1982</w:t>
      </w:r>
      <w:r w:rsidRPr="00856731">
        <w:t>, or for an existing NEPT licensee applying for renewal of their licence or licence variation that may involve revisions of current infection prevention and control policies and/or requirements. This process does not involve vehicle inspection or auditing of NEPT service providers.</w:t>
      </w:r>
    </w:p>
    <w:p w:rsidR="00856731" w:rsidRPr="00856731" w:rsidRDefault="00856731" w:rsidP="00955445">
      <w:pPr>
        <w:pStyle w:val="Heading1"/>
      </w:pPr>
      <w:r w:rsidRPr="00856731">
        <w:t>Infection Control Requirements</w:t>
      </w:r>
    </w:p>
    <w:p w:rsidR="00856731" w:rsidRPr="00856731" w:rsidRDefault="00856731" w:rsidP="00856731">
      <w:r w:rsidRPr="00856731">
        <w:t>NEPT services must provide of the following documentation to support their service’s infection prevention and control (IP&amp;C) program.  Documents need to be provided with the licence application and with any application for service change (if applicable) prior to the issuing of a licence, or licence amendment.  These include the</w:t>
      </w:r>
      <w:r w:rsidR="00D04B60">
        <w:t xml:space="preserve"> documents in Appendix 2 - </w:t>
      </w:r>
      <w:r w:rsidR="00D04B60" w:rsidRPr="00CB1284">
        <w:t>Applicant Checklist</w:t>
      </w:r>
      <w:r w:rsidR="00D04B60">
        <w:t xml:space="preserve"> for TIPCU. </w:t>
      </w:r>
    </w:p>
    <w:p w:rsidR="00856731" w:rsidRPr="00856731" w:rsidRDefault="00856731" w:rsidP="00955445">
      <w:pPr>
        <w:pStyle w:val="Heading2"/>
      </w:pPr>
      <w:r w:rsidRPr="00856731">
        <w:t>Policy</w:t>
      </w:r>
    </w:p>
    <w:p w:rsidR="00856731" w:rsidRPr="00CB1284" w:rsidRDefault="00856731" w:rsidP="00955445">
      <w:r w:rsidRPr="00CB1284">
        <w:t>Infection prevention and control policy</w:t>
      </w:r>
      <w:r>
        <w:t xml:space="preserve"> (or policy statement providing overarching direction for staff regarding IP&amp;C requirements for the NEPT service)</w:t>
      </w:r>
    </w:p>
    <w:p w:rsidR="00856731" w:rsidRPr="00CB1284" w:rsidRDefault="00856731" w:rsidP="00955445">
      <w:pPr>
        <w:pStyle w:val="Heading3"/>
      </w:pPr>
      <w:r w:rsidRPr="00CB1284">
        <w:t>Procedures</w:t>
      </w:r>
      <w:r w:rsidR="00955445">
        <w:t xml:space="preserve"> </w:t>
      </w:r>
      <w:r w:rsidRPr="00CB1284">
        <w:t>/ protocols</w:t>
      </w:r>
    </w:p>
    <w:p w:rsidR="00856731" w:rsidRDefault="00856731" w:rsidP="00955445">
      <w:pPr>
        <w:pStyle w:val="BulletedListLevel1"/>
        <w:spacing w:after="0"/>
      </w:pPr>
      <w:r w:rsidRPr="00CB1284">
        <w:t>Standard precautions incorporat</w:t>
      </w:r>
      <w:r>
        <w:t>ing</w:t>
      </w:r>
      <w:r w:rsidRPr="00CB1284">
        <w:t xml:space="preserve"> a section on each of the following </w:t>
      </w:r>
      <w:r>
        <w:t>for in</w:t>
      </w:r>
      <w:r w:rsidR="00955445">
        <w:t xml:space="preserve"> accordance with service scope, </w:t>
      </w:r>
      <w:r>
        <w:t>(as applicable)</w:t>
      </w:r>
      <w:r w:rsidRPr="00CB1284" w:rsidDel="00194267">
        <w:t xml:space="preserve"> </w:t>
      </w:r>
    </w:p>
    <w:p w:rsidR="00856731" w:rsidRPr="00CB1284" w:rsidRDefault="00856731" w:rsidP="00955445">
      <w:pPr>
        <w:pStyle w:val="BulletedListLevel2"/>
        <w:spacing w:after="0"/>
      </w:pPr>
      <w:r w:rsidRPr="00CB1284">
        <w:t>Hand hygiene</w:t>
      </w:r>
    </w:p>
    <w:p w:rsidR="00856731" w:rsidRPr="00CB1284" w:rsidRDefault="00856731" w:rsidP="00955445">
      <w:pPr>
        <w:pStyle w:val="BulletedListLevel2"/>
        <w:spacing w:after="0"/>
      </w:pPr>
      <w:r w:rsidRPr="00CB1284">
        <w:t>Personal protective equipment</w:t>
      </w:r>
    </w:p>
    <w:p w:rsidR="00856731" w:rsidRPr="00CB1284" w:rsidRDefault="00856731" w:rsidP="00955445">
      <w:pPr>
        <w:pStyle w:val="BulletedListLevel2"/>
        <w:spacing w:after="0"/>
      </w:pPr>
      <w:r w:rsidRPr="00CB1284">
        <w:t>Sharps handling and disposal</w:t>
      </w:r>
    </w:p>
    <w:p w:rsidR="00856731" w:rsidRPr="00CB1284" w:rsidRDefault="00856731" w:rsidP="00955445">
      <w:pPr>
        <w:pStyle w:val="BulletedListLevel2"/>
        <w:spacing w:after="0"/>
      </w:pPr>
      <w:r w:rsidRPr="00CB1284">
        <w:t xml:space="preserve">Environmental </w:t>
      </w:r>
      <w:r>
        <w:t>c</w:t>
      </w:r>
      <w:r w:rsidRPr="00CB1284">
        <w:t>leaning</w:t>
      </w:r>
    </w:p>
    <w:p w:rsidR="00856731" w:rsidRPr="00CB1284" w:rsidRDefault="00856731" w:rsidP="00955445">
      <w:pPr>
        <w:pStyle w:val="BulletedListLevel2"/>
        <w:spacing w:after="0"/>
      </w:pPr>
      <w:r w:rsidRPr="00CB1284">
        <w:t xml:space="preserve">Reprocessing of reusable equipment </w:t>
      </w:r>
    </w:p>
    <w:p w:rsidR="00856731" w:rsidRPr="00CB1284" w:rsidRDefault="00856731" w:rsidP="00955445">
      <w:pPr>
        <w:pStyle w:val="BulletedListLevel2"/>
        <w:spacing w:after="0"/>
      </w:pPr>
      <w:r w:rsidRPr="00CB1284">
        <w:t>Single-use items</w:t>
      </w:r>
    </w:p>
    <w:p w:rsidR="00856731" w:rsidRPr="00CB1284" w:rsidRDefault="00856731" w:rsidP="00955445">
      <w:pPr>
        <w:pStyle w:val="BulletedListLevel2"/>
        <w:spacing w:after="0"/>
      </w:pPr>
      <w:r w:rsidRPr="00CB1284">
        <w:t>Respiratory hygiene and cough etiquette</w:t>
      </w:r>
    </w:p>
    <w:p w:rsidR="00856731" w:rsidRPr="00CB1284" w:rsidRDefault="00856731" w:rsidP="00955445">
      <w:pPr>
        <w:pStyle w:val="BulletedListLevel2"/>
        <w:spacing w:after="0"/>
      </w:pPr>
      <w:r w:rsidRPr="00CB1284">
        <w:t>Waste management</w:t>
      </w:r>
    </w:p>
    <w:p w:rsidR="00856731" w:rsidRPr="00CB1284" w:rsidRDefault="00856731" w:rsidP="00955445">
      <w:pPr>
        <w:pStyle w:val="BulletedListLevel2"/>
      </w:pPr>
      <w:r w:rsidRPr="00CB1284">
        <w:t>Linen management</w:t>
      </w:r>
    </w:p>
    <w:p w:rsidR="00856731" w:rsidRPr="00CB1284" w:rsidRDefault="00856731" w:rsidP="00955445">
      <w:pPr>
        <w:pStyle w:val="BulletedListLevel1"/>
      </w:pPr>
      <w:r w:rsidRPr="00CB1284">
        <w:t>Prevention and management of occupational exposure to blood and body substances</w:t>
      </w:r>
    </w:p>
    <w:p w:rsidR="00955445" w:rsidRDefault="00856731" w:rsidP="00955445">
      <w:pPr>
        <w:pStyle w:val="BulletedListLevel1"/>
      </w:pPr>
      <w:r w:rsidRPr="00CB1284">
        <w:t>Staff immunisation</w:t>
      </w:r>
      <w:r w:rsidR="00955445">
        <w:t xml:space="preserve"> </w:t>
      </w:r>
    </w:p>
    <w:p w:rsidR="00856731" w:rsidRPr="00CB1284" w:rsidRDefault="00856731" w:rsidP="00955445">
      <w:pPr>
        <w:pStyle w:val="Heading4"/>
      </w:pPr>
      <w:r w:rsidRPr="00CB1284">
        <w:lastRenderedPageBreak/>
        <w:t xml:space="preserve">Additional procedures depending on </w:t>
      </w:r>
      <w:r>
        <w:t xml:space="preserve">NEPT </w:t>
      </w:r>
      <w:r w:rsidRPr="00CB1284">
        <w:t>service provision:</w:t>
      </w:r>
    </w:p>
    <w:p w:rsidR="00856731" w:rsidRPr="00CB1284" w:rsidRDefault="00856731" w:rsidP="00955445">
      <w:pPr>
        <w:pStyle w:val="BulletedListLevel1"/>
      </w:pPr>
      <w:r w:rsidRPr="00CB1284">
        <w:t xml:space="preserve">Transmission-based precautions </w:t>
      </w:r>
      <w:r>
        <w:t>(as appropriate for transport of patients from one healthcare site to another)</w:t>
      </w:r>
    </w:p>
    <w:p w:rsidR="00856731" w:rsidRPr="00CB1284" w:rsidRDefault="00856731" w:rsidP="00955445">
      <w:pPr>
        <w:pStyle w:val="BulletedListLevel1"/>
      </w:pPr>
      <w:r w:rsidRPr="00CB1284">
        <w:t>Surveillance and reporting of data</w:t>
      </w:r>
    </w:p>
    <w:p w:rsidR="00856731" w:rsidRPr="00CB1284" w:rsidRDefault="00856731" w:rsidP="00955445">
      <w:pPr>
        <w:pStyle w:val="BulletedListLevel1"/>
      </w:pPr>
      <w:r w:rsidRPr="00CB1284">
        <w:t>Reporting of communicable and notifiable diseases</w:t>
      </w:r>
    </w:p>
    <w:p w:rsidR="00856731" w:rsidRDefault="00856731" w:rsidP="00856731">
      <w:pPr>
        <w:spacing w:before="120" w:after="120" w:line="240" w:lineRule="auto"/>
      </w:pPr>
    </w:p>
    <w:p w:rsidR="00856731" w:rsidRPr="00CB1284" w:rsidRDefault="00856731" w:rsidP="00955445">
      <w:pPr>
        <w:pStyle w:val="Heading4"/>
      </w:pPr>
      <w:r w:rsidRPr="00CB1284">
        <w:t>Notes:</w:t>
      </w:r>
    </w:p>
    <w:p w:rsidR="00856731" w:rsidRPr="00CB1284" w:rsidRDefault="00856731" w:rsidP="00856731">
      <w:pPr>
        <w:spacing w:before="120" w:after="120" w:line="240" w:lineRule="auto"/>
      </w:pPr>
      <w:r w:rsidRPr="00CB1284">
        <w:t xml:space="preserve">All policies and procedure must be: </w:t>
      </w:r>
    </w:p>
    <w:p w:rsidR="00856731" w:rsidRPr="00CB1284" w:rsidRDefault="00856731" w:rsidP="00955445">
      <w:pPr>
        <w:pStyle w:val="BulletedListLevel1"/>
      </w:pPr>
      <w:r w:rsidRPr="00CB1284">
        <w:t xml:space="preserve">consistent with the </w:t>
      </w:r>
      <w:r w:rsidRPr="00AB501B">
        <w:t>Australian Guidelines for the Prevention and Control of Infections in Health Care</w:t>
      </w:r>
      <w:r w:rsidRPr="00CB1284">
        <w:t xml:space="preserve"> </w:t>
      </w:r>
    </w:p>
    <w:p w:rsidR="00856731" w:rsidRPr="00CB1284" w:rsidRDefault="00856731" w:rsidP="00955445">
      <w:pPr>
        <w:pStyle w:val="BulletedListLevel1"/>
      </w:pPr>
      <w:r w:rsidRPr="00CB1284">
        <w:t xml:space="preserve">include a date of effect and revision date </w:t>
      </w:r>
    </w:p>
    <w:p w:rsidR="00C078EE" w:rsidRDefault="00856731" w:rsidP="00C078EE">
      <w:pPr>
        <w:spacing w:before="120" w:after="120" w:line="240" w:lineRule="auto"/>
      </w:pPr>
      <w:r w:rsidRPr="00CB1284">
        <w:t xml:space="preserve">For </w:t>
      </w:r>
      <w:r>
        <w:t xml:space="preserve">further </w:t>
      </w:r>
      <w:r w:rsidRPr="00CB1284">
        <w:t>guidance on developing these policies and procedures</w:t>
      </w:r>
      <w:r w:rsidR="00955445">
        <w:t>,</w:t>
      </w:r>
      <w:r w:rsidRPr="00CB1284">
        <w:t xml:space="preserve"> see </w:t>
      </w:r>
      <w:r w:rsidR="00D04B60">
        <w:t>Appendix 1 - Resources</w:t>
      </w:r>
      <w:r w:rsidRPr="00CB1284">
        <w:t xml:space="preserve">. </w:t>
      </w:r>
    </w:p>
    <w:p w:rsidR="00C078EE" w:rsidRDefault="00C078EE" w:rsidP="00C078EE">
      <w:pPr>
        <w:spacing w:before="120" w:after="120" w:line="240" w:lineRule="auto"/>
      </w:pPr>
    </w:p>
    <w:p w:rsidR="00D04B60" w:rsidRPr="00897C09" w:rsidRDefault="00D04B60" w:rsidP="00C078EE">
      <w:pPr>
        <w:spacing w:before="120" w:after="120" w:line="240" w:lineRule="auto"/>
      </w:pPr>
      <w:r w:rsidRPr="00897C09">
        <w:t>For further enquires contact</w:t>
      </w:r>
      <w:r>
        <w:t xml:space="preserve"> the </w:t>
      </w:r>
      <w:r w:rsidRPr="00897C09">
        <w:t xml:space="preserve">Regulation Unit on </w:t>
      </w:r>
      <w:r>
        <w:t xml:space="preserve">03 </w:t>
      </w:r>
      <w:r w:rsidRPr="00897C09">
        <w:t xml:space="preserve">6166 3856 or at </w:t>
      </w:r>
      <w:hyperlink r:id="rId8" w:history="1">
        <w:r w:rsidRPr="00897C09">
          <w:rPr>
            <w:rStyle w:val="Hyperlink"/>
          </w:rPr>
          <w:t>NEPT@health.tas.gov.au</w:t>
        </w:r>
      </w:hyperlink>
      <w:r>
        <w:rPr>
          <w:rStyle w:val="Hyperlink"/>
        </w:rPr>
        <w:t>.</w:t>
      </w:r>
    </w:p>
    <w:p w:rsidR="00D04B60" w:rsidRDefault="00D04B60">
      <w:pPr>
        <w:spacing w:after="160" w:line="300" w:lineRule="auto"/>
      </w:pPr>
    </w:p>
    <w:p w:rsidR="00955445" w:rsidRDefault="00955445">
      <w:pPr>
        <w:spacing w:after="160" w:line="300" w:lineRule="auto"/>
        <w:rPr>
          <w:rFonts w:eastAsiaTheme="majorEastAsia" w:cstheme="majorBidi"/>
          <w:b/>
          <w:sz w:val="40"/>
          <w:szCs w:val="32"/>
        </w:rPr>
      </w:pPr>
      <w:r>
        <w:br w:type="page"/>
      </w:r>
    </w:p>
    <w:p w:rsidR="00856731" w:rsidRPr="00CB1284" w:rsidRDefault="00D04B60" w:rsidP="00955445">
      <w:pPr>
        <w:pStyle w:val="Heading1"/>
      </w:pPr>
      <w:r>
        <w:lastRenderedPageBreak/>
        <w:t xml:space="preserve">Appendix 1 - </w:t>
      </w:r>
      <w:r w:rsidR="00856731" w:rsidRPr="00CB1284">
        <w:t>Resources</w:t>
      </w:r>
    </w:p>
    <w:p w:rsidR="00955445" w:rsidRPr="00E6629F" w:rsidRDefault="00955445" w:rsidP="00E6629F">
      <w:pPr>
        <w:rPr>
          <w:b/>
        </w:rPr>
      </w:pPr>
      <w:r w:rsidRPr="00E6629F">
        <w:rPr>
          <w:b/>
        </w:rPr>
        <w:t>General</w:t>
      </w:r>
    </w:p>
    <w:p w:rsidR="00856731" w:rsidRPr="00955445" w:rsidRDefault="00856731" w:rsidP="00955445">
      <w:r w:rsidRPr="00955445">
        <w:rPr>
          <w:i/>
        </w:rPr>
        <w:t>Ambulance Service Act 1982</w:t>
      </w:r>
      <w:r w:rsidRPr="00955445">
        <w:t xml:space="preserve"> and its Regulations</w:t>
      </w:r>
    </w:p>
    <w:p w:rsidR="00856731" w:rsidRPr="00955445" w:rsidRDefault="00856731" w:rsidP="00955445">
      <w:r w:rsidRPr="00955445">
        <w:t>Australian Commission for Safety and Quality in Healthcare (ACSQHC) home page</w:t>
      </w:r>
      <w:r w:rsidR="00D04B60">
        <w:t xml:space="preserve"> </w:t>
      </w:r>
      <w:hyperlink r:id="rId9" w:history="1">
        <w:r w:rsidRPr="00955445">
          <w:rPr>
            <w:rStyle w:val="Hyperlink"/>
          </w:rPr>
          <w:t>http://www.safetyandquality.gov.au/</w:t>
        </w:r>
      </w:hyperlink>
    </w:p>
    <w:p w:rsidR="00856731" w:rsidRPr="00955445" w:rsidRDefault="00856731" w:rsidP="00955445">
      <w:r w:rsidRPr="00955445">
        <w:rPr>
          <w:i/>
        </w:rPr>
        <w:t>Australian Guidelines for the Prevention and Control of Infection in Healthcare (2010)</w:t>
      </w:r>
      <w:r w:rsidR="00D04B60">
        <w:rPr>
          <w:i/>
        </w:rPr>
        <w:t xml:space="preserve"> </w:t>
      </w:r>
      <w:hyperlink r:id="rId10" w:history="1">
        <w:r w:rsidRPr="00955445">
          <w:rPr>
            <w:rStyle w:val="Hyperlink"/>
          </w:rPr>
          <w:t>http://www.nhmrc.gov.au/node/30290</w:t>
        </w:r>
      </w:hyperlink>
      <w:r w:rsidRPr="00955445">
        <w:t xml:space="preserve"> </w:t>
      </w:r>
    </w:p>
    <w:p w:rsidR="00856731" w:rsidRPr="00955445" w:rsidRDefault="00856731" w:rsidP="00955445">
      <w:pPr>
        <w:rPr>
          <w:i/>
        </w:rPr>
      </w:pPr>
      <w:r w:rsidRPr="00955445">
        <w:t xml:space="preserve">Australian Standards (2006) </w:t>
      </w:r>
      <w:r w:rsidRPr="00955445">
        <w:rPr>
          <w:i/>
        </w:rPr>
        <w:t xml:space="preserve">AS 4815: 2006 Office-based health care facilities – Reprocessing of reusable medical and surgical instruments and equipment, and maintenance of the associated environment.  </w:t>
      </w:r>
    </w:p>
    <w:p w:rsidR="00856731" w:rsidRPr="00955445" w:rsidRDefault="00856731" w:rsidP="00955445">
      <w:pPr>
        <w:rPr>
          <w:i/>
        </w:rPr>
      </w:pPr>
      <w:r w:rsidRPr="00955445">
        <w:t xml:space="preserve">Australian Standards (2014) </w:t>
      </w:r>
      <w:r w:rsidRPr="00955445">
        <w:rPr>
          <w:i/>
        </w:rPr>
        <w:t>AS4187: 2014 Reprocessing of Reusable Medical Devices in Health Service Organisations.</w:t>
      </w:r>
    </w:p>
    <w:p w:rsidR="00856731" w:rsidRPr="00955445" w:rsidRDefault="00856731" w:rsidP="00955445">
      <w:r w:rsidRPr="00955445">
        <w:t xml:space="preserve">Department of Tourism, Arts and the Environment (2007) </w:t>
      </w:r>
      <w:r w:rsidRPr="00955445">
        <w:rPr>
          <w:i/>
        </w:rPr>
        <w:t>Approved Management Method for Clinical and Related Waste</w:t>
      </w:r>
      <w:r w:rsidRPr="00955445">
        <w:t xml:space="preserve">, Tasmanian Government.  </w:t>
      </w:r>
    </w:p>
    <w:p w:rsidR="00856731" w:rsidRPr="00955445" w:rsidRDefault="00856731" w:rsidP="00955445">
      <w:r w:rsidRPr="00955445">
        <w:t xml:space="preserve">Tasmanian Infection Prevention and Control </w:t>
      </w:r>
      <w:r w:rsidR="00955445">
        <w:t xml:space="preserve">Unit </w:t>
      </w:r>
      <w:r w:rsidRPr="00955445">
        <w:t xml:space="preserve">(TIPCU) </w:t>
      </w:r>
      <w:hyperlink r:id="rId11" w:history="1">
        <w:r w:rsidR="00D04B60" w:rsidRPr="001242D5">
          <w:rPr>
            <w:rStyle w:val="Hyperlink"/>
          </w:rPr>
          <w:t>http://www.dhhs.tas.gov.au/publichealth/tasmanian_infection_prevention_and_control_unit</w:t>
        </w:r>
      </w:hyperlink>
    </w:p>
    <w:p w:rsidR="00856731" w:rsidRPr="00E6629F" w:rsidRDefault="00856731" w:rsidP="00E6629F">
      <w:pPr>
        <w:rPr>
          <w:b/>
        </w:rPr>
      </w:pPr>
      <w:r w:rsidRPr="00E6629F">
        <w:rPr>
          <w:b/>
        </w:rPr>
        <w:t>Infection prevention and control education modules</w:t>
      </w:r>
    </w:p>
    <w:p w:rsidR="00856731" w:rsidRPr="00955445" w:rsidRDefault="00856731" w:rsidP="00856731">
      <w:pPr>
        <w:spacing w:before="120" w:after="120"/>
      </w:pPr>
      <w:r w:rsidRPr="00897C09">
        <w:t xml:space="preserve">ACSQHC orientation package for healthcare workers </w:t>
      </w:r>
      <w:hyperlink r:id="rId12" w:history="1">
        <w:r w:rsidRPr="00955445">
          <w:rPr>
            <w:rStyle w:val="Hyperlink"/>
          </w:rPr>
          <w:t>http://education.safetyandquality.gov.au/login.php</w:t>
        </w:r>
      </w:hyperlink>
    </w:p>
    <w:p w:rsidR="00856731" w:rsidRPr="00955445" w:rsidRDefault="00856731" w:rsidP="00D04B60">
      <w:pPr>
        <w:spacing w:before="120"/>
      </w:pPr>
      <w:r w:rsidRPr="00897C09">
        <w:t xml:space="preserve">Tasmanian Infection Prevention and Control </w:t>
      </w:r>
      <w:r w:rsidR="00955445">
        <w:t>Unit</w:t>
      </w:r>
      <w:r w:rsidR="00F72CE4">
        <w:t xml:space="preserve"> </w:t>
      </w:r>
      <w:r w:rsidRPr="00897C09">
        <w:t>(TIPCU):</w:t>
      </w:r>
      <w:r w:rsidR="00955445">
        <w:t xml:space="preserve"> </w:t>
      </w:r>
      <w:r w:rsidRPr="00897C09">
        <w:t>eLearning Infection Prevention and Control Series</w:t>
      </w:r>
      <w:r w:rsidR="00955445">
        <w:t xml:space="preserve">, </w:t>
      </w:r>
      <w:r w:rsidRPr="00897C09">
        <w:t>Personal Protective Equipment Demonstration videos</w:t>
      </w:r>
      <w:r w:rsidR="00D04B60">
        <w:br/>
      </w:r>
      <w:hyperlink r:id="rId13" w:history="1">
        <w:r w:rsidRPr="00955445">
          <w:rPr>
            <w:rStyle w:val="Hyperlink"/>
          </w:rPr>
          <w:t>http://www.dhhs.tas.gov.au/publichealth/tasmanian_infection_prevention_and_control_unit</w:t>
        </w:r>
      </w:hyperlink>
    </w:p>
    <w:p w:rsidR="00856731" w:rsidRPr="00897C09" w:rsidRDefault="00856731" w:rsidP="00E6629F">
      <w:pPr>
        <w:rPr>
          <w:b/>
        </w:rPr>
      </w:pPr>
      <w:r w:rsidRPr="00897C09">
        <w:rPr>
          <w:b/>
        </w:rPr>
        <w:t xml:space="preserve">Hand hygiene </w:t>
      </w:r>
    </w:p>
    <w:p w:rsidR="00856731" w:rsidRPr="00D04B60" w:rsidRDefault="00856731" w:rsidP="00856731">
      <w:pPr>
        <w:spacing w:before="120" w:after="120"/>
      </w:pPr>
      <w:r w:rsidRPr="00897C09">
        <w:t xml:space="preserve">Hand Hygiene Australia </w:t>
      </w:r>
      <w:hyperlink r:id="rId14" w:history="1">
        <w:r w:rsidRPr="00D04B60">
          <w:rPr>
            <w:rStyle w:val="Hyperlink"/>
          </w:rPr>
          <w:t>http://www.hha.org.au/home.aspx</w:t>
        </w:r>
      </w:hyperlink>
    </w:p>
    <w:p w:rsidR="00856731" w:rsidRPr="00D04B60" w:rsidRDefault="00856731" w:rsidP="00856731">
      <w:pPr>
        <w:spacing w:before="120" w:after="120"/>
      </w:pPr>
      <w:r w:rsidRPr="00897C09">
        <w:t xml:space="preserve">World Health Organisation (WHO) Clean Care is Safer Care </w:t>
      </w:r>
      <w:hyperlink r:id="rId15" w:history="1">
        <w:r w:rsidRPr="00D04B60">
          <w:rPr>
            <w:rStyle w:val="Hyperlink"/>
          </w:rPr>
          <w:t>http://www.who.int/gpsc/en/index.html</w:t>
        </w:r>
      </w:hyperlink>
    </w:p>
    <w:p w:rsidR="00856731" w:rsidRPr="00897C09" w:rsidRDefault="00856731" w:rsidP="00E6629F">
      <w:pPr>
        <w:rPr>
          <w:b/>
        </w:rPr>
      </w:pPr>
      <w:r w:rsidRPr="00897C09">
        <w:rPr>
          <w:b/>
        </w:rPr>
        <w:t xml:space="preserve">Outbreak management </w:t>
      </w:r>
    </w:p>
    <w:p w:rsidR="00856731" w:rsidRPr="00D04B60" w:rsidRDefault="00856731" w:rsidP="00856731">
      <w:pPr>
        <w:spacing w:before="120" w:after="120"/>
      </w:pPr>
      <w:r w:rsidRPr="00897C09">
        <w:t xml:space="preserve">Influ-Info Influenza Kit for Aged Care </w:t>
      </w:r>
      <w:r w:rsidR="00D04B60">
        <w:br/>
      </w:r>
      <w:hyperlink r:id="rId16" w:history="1">
        <w:r w:rsidRPr="00D04B60">
          <w:rPr>
            <w:rStyle w:val="Hyperlink"/>
          </w:rPr>
          <w:t>http://www.health.gov.au/internet/main/publishing.nsf/Content/ageing-publicat-influinfo.htm</w:t>
        </w:r>
      </w:hyperlink>
    </w:p>
    <w:p w:rsidR="00856731" w:rsidRPr="00D04B60" w:rsidRDefault="00856731" w:rsidP="00856731">
      <w:pPr>
        <w:spacing w:before="120" w:after="120"/>
      </w:pPr>
      <w:r w:rsidRPr="00897C09">
        <w:t xml:space="preserve">Gastro-Info Gastroenteritis Kit for Aged Care </w:t>
      </w:r>
      <w:hyperlink r:id="rId17" w:history="1">
        <w:r w:rsidRPr="00D04B60">
          <w:rPr>
            <w:rStyle w:val="Hyperlink"/>
          </w:rPr>
          <w:t>http://www.health.gov.au/internet/main/publishing.nsf/Content/ageing-publicat-gastro-kit.htm</w:t>
        </w:r>
      </w:hyperlink>
    </w:p>
    <w:p w:rsidR="00856731" w:rsidRPr="00D04B60" w:rsidRDefault="00856731" w:rsidP="00856731">
      <w:pPr>
        <w:spacing w:before="120" w:after="120"/>
      </w:pPr>
      <w:r w:rsidRPr="00897C09">
        <w:t xml:space="preserve">Communicable Diseases Network Australia (CDNA) public health guidelines for management of gastroenteritis outbreaks due to suspected norovirus (see Appendix 5) </w:t>
      </w:r>
      <w:hyperlink r:id="rId18" w:history="1">
        <w:r w:rsidRPr="00D04B60">
          <w:rPr>
            <w:rStyle w:val="Hyperlink"/>
          </w:rPr>
          <w:t>http://www.health.gov.au/internet/main/publishing.nsf/Content/cda-cdna-norovirus.htm</w:t>
        </w:r>
      </w:hyperlink>
    </w:p>
    <w:p w:rsidR="00856731" w:rsidRPr="00E6629F" w:rsidRDefault="00856731" w:rsidP="00E6629F">
      <w:pPr>
        <w:rPr>
          <w:b/>
        </w:rPr>
      </w:pPr>
      <w:r w:rsidRPr="00E6629F">
        <w:rPr>
          <w:b/>
        </w:rPr>
        <w:t xml:space="preserve">Surveillance </w:t>
      </w:r>
    </w:p>
    <w:p w:rsidR="00856731" w:rsidRPr="00D04B60" w:rsidRDefault="00856731" w:rsidP="00D04B60">
      <w:r w:rsidRPr="00897C09">
        <w:rPr>
          <w:lang w:val="fr-FR"/>
        </w:rPr>
        <w:t xml:space="preserve">National Communicable </w:t>
      </w:r>
      <w:r w:rsidR="00D04B60">
        <w:rPr>
          <w:lang w:val="fr-FR"/>
        </w:rPr>
        <w:t>D</w:t>
      </w:r>
      <w:r w:rsidRPr="00897C09">
        <w:t>isease</w:t>
      </w:r>
      <w:r w:rsidRPr="00897C09">
        <w:rPr>
          <w:lang w:val="fr-FR"/>
        </w:rPr>
        <w:t xml:space="preserve"> surveillance</w:t>
      </w:r>
      <w:r w:rsidR="00D04B60">
        <w:rPr>
          <w:lang w:val="fr-FR"/>
        </w:rPr>
        <w:t xml:space="preserve">: </w:t>
      </w:r>
      <w:hyperlink r:id="rId19" w:history="1">
        <w:r w:rsidRPr="00D04B60">
          <w:rPr>
            <w:rStyle w:val="Hyperlink"/>
          </w:rPr>
          <w:t>http://www.health.gov.au/internet/main/publishing.nsf/content/cda-cdna-index.htm</w:t>
        </w:r>
      </w:hyperlink>
      <w:r w:rsidR="00D04B60">
        <w:br/>
      </w:r>
      <w:hyperlink r:id="rId20" w:history="1">
        <w:r w:rsidRPr="00D04B60">
          <w:rPr>
            <w:rStyle w:val="Hyperlink"/>
          </w:rPr>
          <w:t>http://www9.health.gov.au/cda/source/cda-index.cfm</w:t>
        </w:r>
      </w:hyperlink>
    </w:p>
    <w:p w:rsidR="00856731" w:rsidRPr="00897C09" w:rsidRDefault="00856731" w:rsidP="00E6629F">
      <w:pPr>
        <w:rPr>
          <w:b/>
        </w:rPr>
      </w:pPr>
      <w:r w:rsidRPr="00897C09">
        <w:rPr>
          <w:b/>
        </w:rPr>
        <w:t xml:space="preserve">Notifiable Diseases </w:t>
      </w:r>
      <w:r w:rsidR="00D04B60" w:rsidRPr="00E6629F">
        <w:rPr>
          <w:b/>
        </w:rPr>
        <w:t xml:space="preserve">- </w:t>
      </w:r>
      <w:r w:rsidRPr="00897C09">
        <w:rPr>
          <w:b/>
        </w:rPr>
        <w:t xml:space="preserve">Public Health Tasmania </w:t>
      </w:r>
    </w:p>
    <w:p w:rsidR="00D04B60" w:rsidRDefault="00FE0185" w:rsidP="00D04B60">
      <w:hyperlink r:id="rId21" w:history="1">
        <w:r w:rsidR="00D04B60" w:rsidRPr="001242D5">
          <w:rPr>
            <w:rStyle w:val="Hyperlink"/>
          </w:rPr>
          <w:t>http://www.dhhs.tas.gov.au/service_information/services_files/infectious_diseases_communicable_diseases</w:t>
        </w:r>
      </w:hyperlink>
      <w:r w:rsidR="00D04B60">
        <w:t xml:space="preserve"> </w:t>
      </w:r>
    </w:p>
    <w:p w:rsidR="00856731" w:rsidRPr="00D04B60" w:rsidRDefault="00856731" w:rsidP="00D04B60">
      <w:r w:rsidRPr="00D04B60">
        <w:br w:type="page"/>
      </w:r>
    </w:p>
    <w:p w:rsidR="00D04B60" w:rsidRPr="00CB1284" w:rsidRDefault="00D04B60" w:rsidP="00D04B60">
      <w:pPr>
        <w:pStyle w:val="Heading1"/>
      </w:pPr>
      <w:bookmarkStart w:id="1" w:name="_Toc481402907"/>
      <w:r w:rsidRPr="00CB1284">
        <w:lastRenderedPageBreak/>
        <w:t xml:space="preserve">Appendix </w:t>
      </w:r>
      <w:r>
        <w:t>2</w:t>
      </w:r>
      <w:r w:rsidRPr="00CB1284">
        <w:t xml:space="preserve"> - Applicant Checklist</w:t>
      </w:r>
      <w:bookmarkEnd w:id="1"/>
      <w:r>
        <w:t xml:space="preserve"> for TIPCU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181"/>
      </w:tblGrid>
      <w:tr w:rsidR="001539EA" w:rsidRPr="00D31257" w:rsidTr="001539EA">
        <w:trPr>
          <w:trHeight w:val="567"/>
        </w:trPr>
        <w:tc>
          <w:tcPr>
            <w:tcW w:w="1790" w:type="pct"/>
            <w:shd w:val="clear" w:color="auto" w:fill="3D8521"/>
            <w:vAlign w:val="center"/>
          </w:tcPr>
          <w:p w:rsidR="001539EA" w:rsidRPr="00D04B60" w:rsidRDefault="001539EA" w:rsidP="00D04B60">
            <w:pPr>
              <w:pStyle w:val="Heading2"/>
              <w:rPr>
                <w:color w:val="FFFFFF" w:themeColor="background1"/>
                <w:szCs w:val="22"/>
              </w:rPr>
            </w:pPr>
            <w:r w:rsidRPr="00D04B60">
              <w:rPr>
                <w:color w:val="FFFFFF" w:themeColor="background1"/>
              </w:rPr>
              <w:t>NEPT Service Name:</w:t>
            </w:r>
          </w:p>
        </w:tc>
        <w:tc>
          <w:tcPr>
            <w:tcW w:w="3210" w:type="pct"/>
            <w:shd w:val="clear" w:color="auto" w:fill="auto"/>
            <w:vAlign w:val="center"/>
          </w:tcPr>
          <w:p w:rsidR="001539EA" w:rsidRPr="00D31257" w:rsidRDefault="001539EA" w:rsidP="001539EA">
            <w:pPr>
              <w:rPr>
                <w:b/>
                <w:color w:val="FFFFFF" w:themeColor="background1"/>
              </w:rPr>
            </w:pPr>
          </w:p>
        </w:tc>
      </w:tr>
      <w:tr w:rsidR="001539EA" w:rsidRPr="00D31257" w:rsidTr="008D45E5">
        <w:trPr>
          <w:trHeight w:val="567"/>
        </w:trPr>
        <w:tc>
          <w:tcPr>
            <w:tcW w:w="1790" w:type="pct"/>
            <w:shd w:val="clear" w:color="auto" w:fill="3D8521"/>
            <w:vAlign w:val="center"/>
          </w:tcPr>
          <w:p w:rsidR="001539EA" w:rsidRPr="00D04B60" w:rsidRDefault="001539EA" w:rsidP="00D04B60">
            <w:pPr>
              <w:pStyle w:val="Heading2"/>
              <w:rPr>
                <w:color w:val="FFFFFF" w:themeColor="background1"/>
              </w:rPr>
            </w:pPr>
            <w:r w:rsidRPr="00D04B60">
              <w:rPr>
                <w:color w:val="FFFFFF" w:themeColor="background1"/>
              </w:rPr>
              <w:t xml:space="preserve">Contact: </w:t>
            </w:r>
          </w:p>
        </w:tc>
        <w:tc>
          <w:tcPr>
            <w:tcW w:w="3210" w:type="pct"/>
            <w:shd w:val="clear" w:color="auto" w:fill="auto"/>
          </w:tcPr>
          <w:p w:rsidR="001539EA" w:rsidRPr="00D31257" w:rsidRDefault="001539EA" w:rsidP="001539EA">
            <w:pPr>
              <w:rPr>
                <w:b/>
              </w:rPr>
            </w:pPr>
          </w:p>
        </w:tc>
      </w:tr>
    </w:tbl>
    <w:p w:rsidR="00591E93" w:rsidRDefault="00591E93" w:rsidP="001539EA">
      <w:pPr>
        <w:rPr>
          <w:rFonts w:asciiTheme="minorHAnsi" w:hAnsiTheme="minorHAnsi"/>
          <w:szCs w:val="20"/>
        </w:rPr>
      </w:pPr>
    </w:p>
    <w:tbl>
      <w:tblPr>
        <w:tblStyle w:val="TableGrid"/>
        <w:tblW w:w="5000" w:type="pct"/>
        <w:tblLook w:val="04A0" w:firstRow="1" w:lastRow="0" w:firstColumn="1" w:lastColumn="0" w:noHBand="0" w:noVBand="1"/>
        <w:tblCaption w:val="Applicant Checklist TIPCU"/>
        <w:tblDescription w:val="Applicant Checklist TIPCU"/>
      </w:tblPr>
      <w:tblGrid>
        <w:gridCol w:w="6228"/>
        <w:gridCol w:w="2083"/>
        <w:gridCol w:w="1317"/>
      </w:tblGrid>
      <w:tr w:rsidR="00D04B60" w:rsidRPr="00D04B60" w:rsidTr="00E6629F">
        <w:trPr>
          <w:tblHeader/>
        </w:trPr>
        <w:tc>
          <w:tcPr>
            <w:tcW w:w="3234" w:type="pct"/>
            <w:shd w:val="clear" w:color="auto" w:fill="3D8521"/>
            <w:vAlign w:val="center"/>
          </w:tcPr>
          <w:p w:rsidR="00D04B60" w:rsidRPr="00D04B60" w:rsidRDefault="00D04B60" w:rsidP="00D04B60">
            <w:pPr>
              <w:pStyle w:val="Heading2"/>
              <w:outlineLvl w:val="1"/>
              <w:rPr>
                <w:color w:val="FFFFFF" w:themeColor="background1"/>
                <w:sz w:val="22"/>
              </w:rPr>
            </w:pPr>
            <w:r w:rsidRPr="00D04B60">
              <w:rPr>
                <w:color w:val="FFFFFF" w:themeColor="background1"/>
                <w:sz w:val="22"/>
              </w:rPr>
              <w:t>Document name</w:t>
            </w:r>
          </w:p>
        </w:tc>
        <w:tc>
          <w:tcPr>
            <w:tcW w:w="1082" w:type="pct"/>
            <w:shd w:val="clear" w:color="auto" w:fill="3D8521"/>
            <w:vAlign w:val="center"/>
          </w:tcPr>
          <w:p w:rsidR="00D04B60" w:rsidRPr="00D04B60" w:rsidRDefault="00D04B60" w:rsidP="00D04B60">
            <w:pPr>
              <w:pStyle w:val="Heading2"/>
              <w:outlineLvl w:val="1"/>
              <w:rPr>
                <w:color w:val="FFFFFF" w:themeColor="background1"/>
                <w:sz w:val="22"/>
              </w:rPr>
            </w:pPr>
            <w:r w:rsidRPr="00D04B60">
              <w:rPr>
                <w:color w:val="FFFFFF" w:themeColor="background1"/>
                <w:sz w:val="22"/>
              </w:rPr>
              <w:t>Required</w:t>
            </w:r>
          </w:p>
        </w:tc>
        <w:tc>
          <w:tcPr>
            <w:tcW w:w="685" w:type="pct"/>
            <w:shd w:val="clear" w:color="auto" w:fill="3D8521"/>
            <w:vAlign w:val="center"/>
          </w:tcPr>
          <w:p w:rsidR="00D04B60" w:rsidRPr="00D04B60" w:rsidRDefault="00D04B60" w:rsidP="00D04B60">
            <w:pPr>
              <w:pStyle w:val="Heading2"/>
              <w:outlineLvl w:val="1"/>
              <w:rPr>
                <w:color w:val="FFFFFF" w:themeColor="background1"/>
                <w:sz w:val="22"/>
              </w:rPr>
            </w:pPr>
            <w:r>
              <w:rPr>
                <w:color w:val="FFFFFF" w:themeColor="background1"/>
                <w:sz w:val="22"/>
              </w:rPr>
              <w:t xml:space="preserve">Included </w:t>
            </w:r>
            <w:r>
              <w:rPr>
                <w:color w:val="FFFFFF" w:themeColor="background1"/>
                <w:sz w:val="22"/>
              </w:rPr>
              <w:br/>
              <w:t>Y</w:t>
            </w:r>
            <w:r w:rsidRPr="00D04B60">
              <w:rPr>
                <w:color w:val="FFFFFF" w:themeColor="background1"/>
                <w:sz w:val="22"/>
              </w:rPr>
              <w:t>es</w:t>
            </w:r>
            <w:r>
              <w:rPr>
                <w:color w:val="FFFFFF" w:themeColor="background1"/>
                <w:sz w:val="22"/>
              </w:rPr>
              <w:t xml:space="preserve"> / No</w:t>
            </w: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Infection control policy</w:t>
            </w:r>
          </w:p>
        </w:tc>
        <w:tc>
          <w:tcPr>
            <w:tcW w:w="1082" w:type="pct"/>
            <w:vAlign w:val="center"/>
          </w:tcPr>
          <w:p w:rsidR="00D04B60" w:rsidRPr="00D04B60" w:rsidRDefault="00D04B60" w:rsidP="00D04B60">
            <w:pPr>
              <w:pStyle w:val="TableText"/>
            </w:pPr>
            <w:r w:rsidRPr="00D04B60">
              <w:t>Mandatory</w:t>
            </w:r>
          </w:p>
        </w:tc>
        <w:tc>
          <w:tcPr>
            <w:tcW w:w="685" w:type="pct"/>
            <w:vAlign w:val="center"/>
          </w:tcPr>
          <w:p w:rsidR="00D04B60" w:rsidRPr="00D04B60" w:rsidRDefault="00D04B60" w:rsidP="00D04B60">
            <w:pPr>
              <w:pStyle w:val="TableText"/>
            </w:pP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Standard precautions procedure/protocol</w:t>
            </w:r>
          </w:p>
          <w:p w:rsidR="00D04B60" w:rsidRPr="00D04B60" w:rsidRDefault="00D04B60" w:rsidP="00D04B60">
            <w:pPr>
              <w:pStyle w:val="TableText"/>
            </w:pPr>
            <w:r w:rsidRPr="00D04B60">
              <w:t>The following elements (as applicable) must be addressed within one protocol or as separate documents</w:t>
            </w:r>
          </w:p>
          <w:p w:rsidR="00D04B60" w:rsidRPr="00D04B60" w:rsidRDefault="00D04B60" w:rsidP="00D04B60">
            <w:pPr>
              <w:pStyle w:val="TableText"/>
              <w:ind w:left="567"/>
            </w:pPr>
            <w:r w:rsidRPr="00D04B60">
              <w:t>Hand hygiene</w:t>
            </w:r>
          </w:p>
          <w:p w:rsidR="00D04B60" w:rsidRPr="00D04B60" w:rsidRDefault="00D04B60" w:rsidP="00D04B60">
            <w:pPr>
              <w:pStyle w:val="TableText"/>
              <w:ind w:left="567"/>
            </w:pPr>
            <w:r w:rsidRPr="00D04B60">
              <w:t>Personal protective equipment</w:t>
            </w:r>
          </w:p>
          <w:p w:rsidR="00D04B60" w:rsidRPr="00D04B60" w:rsidRDefault="00D04B60" w:rsidP="00D04B60">
            <w:pPr>
              <w:pStyle w:val="TableText"/>
              <w:ind w:left="567"/>
            </w:pPr>
            <w:r w:rsidRPr="00D04B60">
              <w:t>Sharps handling and disposal of sharps</w:t>
            </w:r>
          </w:p>
          <w:p w:rsidR="00D04B60" w:rsidRPr="00D04B60" w:rsidRDefault="00D04B60" w:rsidP="00D04B60">
            <w:pPr>
              <w:pStyle w:val="TableText"/>
              <w:ind w:left="567"/>
            </w:pPr>
            <w:r w:rsidRPr="00D04B60">
              <w:t>Environmental cleaning</w:t>
            </w:r>
          </w:p>
          <w:p w:rsidR="00D04B60" w:rsidRPr="00D04B60" w:rsidRDefault="00D04B60" w:rsidP="00D04B60">
            <w:pPr>
              <w:pStyle w:val="TableText"/>
              <w:ind w:left="567"/>
            </w:pPr>
            <w:r w:rsidRPr="00D04B60">
              <w:t>Reprocessing of reusable equipment</w:t>
            </w:r>
          </w:p>
          <w:p w:rsidR="00D04B60" w:rsidRPr="00D04B60" w:rsidRDefault="00D04B60" w:rsidP="00D04B60">
            <w:pPr>
              <w:pStyle w:val="TableText"/>
              <w:ind w:left="567"/>
            </w:pPr>
            <w:r w:rsidRPr="00D04B60">
              <w:t>Single-use items</w:t>
            </w:r>
          </w:p>
          <w:p w:rsidR="00D04B60" w:rsidRPr="00D04B60" w:rsidRDefault="00D04B60" w:rsidP="00D04B60">
            <w:pPr>
              <w:pStyle w:val="TableText"/>
              <w:ind w:left="567"/>
            </w:pPr>
            <w:r w:rsidRPr="00D04B60">
              <w:t>Respiratory hygiene and cough etiquette</w:t>
            </w:r>
          </w:p>
          <w:p w:rsidR="00D04B60" w:rsidRPr="00D04B60" w:rsidRDefault="00D04B60" w:rsidP="00D04B60">
            <w:pPr>
              <w:pStyle w:val="TableText"/>
              <w:ind w:left="567"/>
            </w:pPr>
            <w:r w:rsidRPr="00D04B60">
              <w:t>Waste management</w:t>
            </w:r>
          </w:p>
          <w:p w:rsidR="00D04B60" w:rsidRPr="00D04B60" w:rsidRDefault="00D04B60" w:rsidP="00D04B60">
            <w:pPr>
              <w:pStyle w:val="TableText"/>
              <w:ind w:left="567"/>
            </w:pPr>
            <w:r w:rsidRPr="00D04B60">
              <w:t>Linen management</w:t>
            </w:r>
          </w:p>
        </w:tc>
        <w:tc>
          <w:tcPr>
            <w:tcW w:w="1082" w:type="pct"/>
            <w:vAlign w:val="center"/>
          </w:tcPr>
          <w:p w:rsidR="00D04B60" w:rsidRPr="00D04B60" w:rsidRDefault="00D04B60" w:rsidP="00D04B60">
            <w:pPr>
              <w:pStyle w:val="TableText"/>
            </w:pPr>
            <w:r w:rsidRPr="00D04B60">
              <w:t xml:space="preserve">Mandatory </w:t>
            </w:r>
            <w:r w:rsidRPr="00D04B60">
              <w:br/>
              <w:t>(as applicable)</w:t>
            </w:r>
          </w:p>
        </w:tc>
        <w:tc>
          <w:tcPr>
            <w:tcW w:w="685" w:type="pct"/>
            <w:vAlign w:val="center"/>
          </w:tcPr>
          <w:p w:rsidR="00D04B60" w:rsidRPr="00D04B60" w:rsidRDefault="00D04B60" w:rsidP="00D04B60">
            <w:pPr>
              <w:pStyle w:val="TableText"/>
            </w:pPr>
          </w:p>
        </w:tc>
      </w:tr>
      <w:tr w:rsidR="00D04B60" w:rsidRPr="00897C09" w:rsidTr="00E6629F">
        <w:trPr>
          <w:trHeight w:val="850"/>
          <w:tblHeader/>
        </w:trPr>
        <w:tc>
          <w:tcPr>
            <w:tcW w:w="3234" w:type="pct"/>
            <w:vAlign w:val="center"/>
          </w:tcPr>
          <w:p w:rsidR="00D04B60" w:rsidRPr="00D04B60" w:rsidRDefault="00D04B60" w:rsidP="00D04B60">
            <w:pPr>
              <w:pStyle w:val="TableText"/>
            </w:pPr>
            <w:r w:rsidRPr="00D04B60">
              <w:t>Prevention and management of occupational exposure to blood and body substances procedure/protocol</w:t>
            </w:r>
          </w:p>
        </w:tc>
        <w:tc>
          <w:tcPr>
            <w:tcW w:w="1082" w:type="pct"/>
            <w:vAlign w:val="center"/>
          </w:tcPr>
          <w:p w:rsidR="00D04B60" w:rsidRPr="00D04B60" w:rsidRDefault="00D04B60" w:rsidP="00D04B60">
            <w:pPr>
              <w:pStyle w:val="TableText"/>
            </w:pPr>
            <w:r w:rsidRPr="00D04B60">
              <w:t>Mandatory</w:t>
            </w:r>
          </w:p>
        </w:tc>
        <w:tc>
          <w:tcPr>
            <w:tcW w:w="685" w:type="pct"/>
            <w:vAlign w:val="center"/>
          </w:tcPr>
          <w:p w:rsidR="00D04B60" w:rsidRPr="00D04B60" w:rsidRDefault="00D04B60" w:rsidP="00D04B60">
            <w:pPr>
              <w:pStyle w:val="TableText"/>
            </w:pP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Staff immunisation procedure/protocol</w:t>
            </w:r>
          </w:p>
        </w:tc>
        <w:tc>
          <w:tcPr>
            <w:tcW w:w="1082" w:type="pct"/>
            <w:vAlign w:val="center"/>
          </w:tcPr>
          <w:p w:rsidR="00D04B60" w:rsidRPr="00D04B60" w:rsidRDefault="00D04B60" w:rsidP="00D04B60">
            <w:pPr>
              <w:pStyle w:val="TableText"/>
            </w:pPr>
            <w:r w:rsidRPr="00D04B60">
              <w:t>Mandatory</w:t>
            </w:r>
          </w:p>
        </w:tc>
        <w:tc>
          <w:tcPr>
            <w:tcW w:w="685" w:type="pct"/>
            <w:vAlign w:val="center"/>
          </w:tcPr>
          <w:p w:rsidR="00D04B60" w:rsidRPr="00D04B60" w:rsidRDefault="00D04B60" w:rsidP="00D04B60">
            <w:pPr>
              <w:pStyle w:val="TableText"/>
            </w:pP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Transmission-based precautions</w:t>
            </w:r>
          </w:p>
        </w:tc>
        <w:tc>
          <w:tcPr>
            <w:tcW w:w="1082" w:type="pct"/>
            <w:vAlign w:val="center"/>
          </w:tcPr>
          <w:p w:rsidR="00D04B60" w:rsidRPr="00D04B60" w:rsidRDefault="00D04B60" w:rsidP="00D04B60">
            <w:pPr>
              <w:pStyle w:val="TableText"/>
            </w:pPr>
            <w:r w:rsidRPr="00D04B60">
              <w:t>As applicable</w:t>
            </w:r>
          </w:p>
        </w:tc>
        <w:tc>
          <w:tcPr>
            <w:tcW w:w="685" w:type="pct"/>
            <w:vAlign w:val="center"/>
          </w:tcPr>
          <w:p w:rsidR="00D04B60" w:rsidRPr="00D04B60" w:rsidRDefault="00D04B60" w:rsidP="00D04B60">
            <w:pPr>
              <w:pStyle w:val="TableText"/>
            </w:pP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Surveillance and reporting of data procedure/protocol</w:t>
            </w:r>
          </w:p>
        </w:tc>
        <w:tc>
          <w:tcPr>
            <w:tcW w:w="1082" w:type="pct"/>
            <w:vAlign w:val="center"/>
          </w:tcPr>
          <w:p w:rsidR="00D04B60" w:rsidRPr="00D04B60" w:rsidRDefault="00D04B60" w:rsidP="00D04B60">
            <w:pPr>
              <w:pStyle w:val="TableText"/>
            </w:pPr>
            <w:r w:rsidRPr="00D04B60">
              <w:t>Depends on service</w:t>
            </w:r>
          </w:p>
        </w:tc>
        <w:tc>
          <w:tcPr>
            <w:tcW w:w="685" w:type="pct"/>
            <w:vAlign w:val="center"/>
          </w:tcPr>
          <w:p w:rsidR="00D04B60" w:rsidRPr="00D04B60" w:rsidRDefault="00D04B60" w:rsidP="00D04B60">
            <w:pPr>
              <w:pStyle w:val="TableText"/>
            </w:pPr>
          </w:p>
        </w:tc>
      </w:tr>
      <w:tr w:rsidR="00D04B60" w:rsidRPr="00897C09" w:rsidTr="00E6629F">
        <w:trPr>
          <w:trHeight w:val="567"/>
          <w:tblHeader/>
        </w:trPr>
        <w:tc>
          <w:tcPr>
            <w:tcW w:w="3234" w:type="pct"/>
            <w:vAlign w:val="center"/>
          </w:tcPr>
          <w:p w:rsidR="00D04B60" w:rsidRPr="00D04B60" w:rsidRDefault="00D04B60" w:rsidP="00D04B60">
            <w:pPr>
              <w:pStyle w:val="TableText"/>
            </w:pPr>
            <w:r w:rsidRPr="00D04B60">
              <w:t>Exposure-prone procedures procedure/protocol</w:t>
            </w:r>
          </w:p>
        </w:tc>
        <w:tc>
          <w:tcPr>
            <w:tcW w:w="1082" w:type="pct"/>
            <w:vAlign w:val="center"/>
          </w:tcPr>
          <w:p w:rsidR="00D04B60" w:rsidRPr="00D04B60" w:rsidRDefault="00D04B60" w:rsidP="00D04B60">
            <w:pPr>
              <w:pStyle w:val="TableText"/>
            </w:pPr>
            <w:r w:rsidRPr="00D04B60">
              <w:t>Depends on service</w:t>
            </w:r>
          </w:p>
        </w:tc>
        <w:tc>
          <w:tcPr>
            <w:tcW w:w="685" w:type="pct"/>
            <w:vAlign w:val="center"/>
          </w:tcPr>
          <w:p w:rsidR="00D04B60" w:rsidRPr="00D04B60" w:rsidRDefault="00D04B60" w:rsidP="00D04B60">
            <w:pPr>
              <w:pStyle w:val="TableText"/>
            </w:pPr>
          </w:p>
        </w:tc>
      </w:tr>
    </w:tbl>
    <w:p w:rsidR="00683762" w:rsidRPr="00982528" w:rsidRDefault="00683762" w:rsidP="00D04B60">
      <w:pPr>
        <w:jc w:val="right"/>
        <w:rPr>
          <w:b/>
          <w:vertAlign w:val="superscript"/>
        </w:rPr>
      </w:pPr>
    </w:p>
    <w:sectPr w:rsidR="00683762" w:rsidRPr="00982528" w:rsidSect="0052682A">
      <w:headerReference w:type="even" r:id="rId22"/>
      <w:headerReference w:type="default" r:id="rId23"/>
      <w:footerReference w:type="default" r:id="rId24"/>
      <w:headerReference w:type="first" r:id="rId25"/>
      <w:type w:val="continuous"/>
      <w:pgSz w:w="11906" w:h="16838" w:code="9"/>
      <w:pgMar w:top="907"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DB" w:rsidRDefault="00E61BDB" w:rsidP="00A9743F">
      <w:r>
        <w:separator/>
      </w:r>
    </w:p>
  </w:endnote>
  <w:endnote w:type="continuationSeparator" w:id="0">
    <w:p w:rsidR="00E61BDB" w:rsidRDefault="00E61BDB"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28" w:rsidRPr="00982528" w:rsidRDefault="00982528" w:rsidP="00955445">
    <w:pPr>
      <w:spacing w:after="0" w:line="240" w:lineRule="auto"/>
      <w:ind w:right="-567" w:hanging="567"/>
      <w:rPr>
        <w:rFonts w:asciiTheme="minorHAnsi" w:hAnsiTheme="minorHAnsi"/>
      </w:rPr>
    </w:pPr>
    <w:r w:rsidRPr="00982528">
      <w:rPr>
        <w:rFonts w:asciiTheme="minorHAnsi" w:hAnsiTheme="minorHAnsi"/>
      </w:rPr>
      <w:t>Regulation Unit</w:t>
    </w:r>
    <w:r w:rsidRPr="00982528">
      <w:rPr>
        <w:rFonts w:asciiTheme="minorHAnsi" w:hAnsiTheme="minorHAnsi"/>
        <w:noProof/>
        <w:lang w:eastAsia="en-AU"/>
      </w:rPr>
      <w:t xml:space="preserve"> </w:t>
    </w:r>
    <w:r w:rsidRPr="00982528">
      <w:rPr>
        <w:rFonts w:asciiTheme="minorHAnsi" w:hAnsiTheme="minorHAnsi"/>
        <w:noProof/>
        <w:lang w:eastAsia="en-AU"/>
      </w:rPr>
      <w:drawing>
        <wp:anchor distT="0" distB="0" distL="114300" distR="114300" simplePos="0" relativeHeight="251658752" behindDoc="1" locked="0" layoutInCell="1" allowOverlap="1" wp14:anchorId="09479628" wp14:editId="1A58425E">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Pr="00982528">
      <w:rPr>
        <w:rFonts w:asciiTheme="minorHAnsi" w:hAnsiTheme="minorHAnsi"/>
      </w:rPr>
      <w:t xml:space="preserve"> </w:t>
    </w:r>
  </w:p>
  <w:p w:rsidR="00982528" w:rsidRPr="00982528" w:rsidRDefault="00982528" w:rsidP="00955445">
    <w:pPr>
      <w:spacing w:after="0" w:line="240" w:lineRule="auto"/>
      <w:ind w:right="-567" w:hanging="567"/>
      <w:rPr>
        <w:rFonts w:asciiTheme="minorHAnsi" w:hAnsiTheme="minorHAnsi"/>
      </w:rPr>
    </w:pPr>
    <w:r w:rsidRPr="00982528">
      <w:rPr>
        <w:rFonts w:asciiTheme="minorHAnsi" w:hAnsiTheme="minorHAnsi"/>
      </w:rPr>
      <w:t>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DB" w:rsidRDefault="00E61BDB" w:rsidP="00A9743F">
      <w:r>
        <w:separator/>
      </w:r>
    </w:p>
  </w:footnote>
  <w:footnote w:type="continuationSeparator" w:id="0">
    <w:p w:rsidR="00E61BDB" w:rsidRDefault="00E61BDB"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FE01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22" w:rsidRDefault="00FE0185" w:rsidP="00955445">
    <w:pPr>
      <w:spacing w:after="0" w:line="240" w:lineRule="auto"/>
      <w:jc w:val="right"/>
      <w:rPr>
        <w:b/>
        <w:bCs/>
        <w:color w:val="FFFFFF" w:themeColor="background1"/>
        <w:sz w:val="20"/>
        <w:szCs w:val="20"/>
      </w:rPr>
    </w:pPr>
    <w:r>
      <w:rPr>
        <w:b/>
        <w:bCs/>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1in;margin-top:-63pt;width:425.2pt;height:601.2pt;z-index:-251642880;mso-position-horizontal-relative:margin;mso-position-vertical-relative:margin" o:allowincell="f">
          <v:imagedata r:id="rId1" o:title="NEPT forms background"/>
          <w10:wrap anchorx="margin" anchory="margin"/>
        </v:shape>
      </w:pict>
    </w:r>
    <w:r w:rsidR="009A0568">
      <w:rPr>
        <w:b/>
        <w:bCs/>
        <w:sz w:val="20"/>
        <w:szCs w:val="20"/>
      </w:rPr>
      <w:t xml:space="preserve">FORM </w:t>
    </w:r>
    <w:r w:rsidR="00856731">
      <w:rPr>
        <w:b/>
        <w:bCs/>
        <w:sz w:val="20"/>
        <w:szCs w:val="20"/>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FE01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2070"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3"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6476D"/>
    <w:rsid w:val="00092537"/>
    <w:rsid w:val="00092FAC"/>
    <w:rsid w:val="000B2E9E"/>
    <w:rsid w:val="000E057A"/>
    <w:rsid w:val="000E4422"/>
    <w:rsid w:val="000F1C5D"/>
    <w:rsid w:val="000F2888"/>
    <w:rsid w:val="00126127"/>
    <w:rsid w:val="00146CDB"/>
    <w:rsid w:val="001536DC"/>
    <w:rsid w:val="001539EA"/>
    <w:rsid w:val="0017146D"/>
    <w:rsid w:val="00176E8A"/>
    <w:rsid w:val="001A1342"/>
    <w:rsid w:val="001B0EAA"/>
    <w:rsid w:val="001B2619"/>
    <w:rsid w:val="001B390B"/>
    <w:rsid w:val="001E13BC"/>
    <w:rsid w:val="002020B7"/>
    <w:rsid w:val="00204EC1"/>
    <w:rsid w:val="00290FE3"/>
    <w:rsid w:val="002931EF"/>
    <w:rsid w:val="002A3A08"/>
    <w:rsid w:val="002B474B"/>
    <w:rsid w:val="002E2D3D"/>
    <w:rsid w:val="002E6D0F"/>
    <w:rsid w:val="002F1B86"/>
    <w:rsid w:val="00314C36"/>
    <w:rsid w:val="0033211B"/>
    <w:rsid w:val="00334B16"/>
    <w:rsid w:val="00343D0A"/>
    <w:rsid w:val="003556D7"/>
    <w:rsid w:val="00375798"/>
    <w:rsid w:val="00384274"/>
    <w:rsid w:val="003850DE"/>
    <w:rsid w:val="003A6679"/>
    <w:rsid w:val="003B49BD"/>
    <w:rsid w:val="003C173C"/>
    <w:rsid w:val="003C62A4"/>
    <w:rsid w:val="003E771F"/>
    <w:rsid w:val="003F230E"/>
    <w:rsid w:val="003F2C66"/>
    <w:rsid w:val="004100B4"/>
    <w:rsid w:val="00456C9C"/>
    <w:rsid w:val="004712F5"/>
    <w:rsid w:val="00480084"/>
    <w:rsid w:val="00480FED"/>
    <w:rsid w:val="00484339"/>
    <w:rsid w:val="004916EC"/>
    <w:rsid w:val="004952AA"/>
    <w:rsid w:val="004952BB"/>
    <w:rsid w:val="004A2E2E"/>
    <w:rsid w:val="004A3836"/>
    <w:rsid w:val="004E350A"/>
    <w:rsid w:val="004E5929"/>
    <w:rsid w:val="004E7844"/>
    <w:rsid w:val="0050508F"/>
    <w:rsid w:val="00513582"/>
    <w:rsid w:val="00517097"/>
    <w:rsid w:val="0052682A"/>
    <w:rsid w:val="00541227"/>
    <w:rsid w:val="00567812"/>
    <w:rsid w:val="005870A9"/>
    <w:rsid w:val="00591E93"/>
    <w:rsid w:val="00596458"/>
    <w:rsid w:val="005B6B53"/>
    <w:rsid w:val="005C1B73"/>
    <w:rsid w:val="005C4C40"/>
    <w:rsid w:val="005C57E1"/>
    <w:rsid w:val="005E19A1"/>
    <w:rsid w:val="005E7DFA"/>
    <w:rsid w:val="005F1FEE"/>
    <w:rsid w:val="00606151"/>
    <w:rsid w:val="00623766"/>
    <w:rsid w:val="00625BF9"/>
    <w:rsid w:val="00646A6F"/>
    <w:rsid w:val="006734D2"/>
    <w:rsid w:val="00683762"/>
    <w:rsid w:val="006A1120"/>
    <w:rsid w:val="006C6C21"/>
    <w:rsid w:val="006E608A"/>
    <w:rsid w:val="006F6E48"/>
    <w:rsid w:val="00701ED8"/>
    <w:rsid w:val="00702331"/>
    <w:rsid w:val="00716F19"/>
    <w:rsid w:val="00717324"/>
    <w:rsid w:val="007242A2"/>
    <w:rsid w:val="00724B8E"/>
    <w:rsid w:val="00743BC8"/>
    <w:rsid w:val="007472B9"/>
    <w:rsid w:val="0076131D"/>
    <w:rsid w:val="00762D05"/>
    <w:rsid w:val="00773B98"/>
    <w:rsid w:val="007C6E22"/>
    <w:rsid w:val="007E051B"/>
    <w:rsid w:val="00856731"/>
    <w:rsid w:val="00872E59"/>
    <w:rsid w:val="00876FF6"/>
    <w:rsid w:val="00884098"/>
    <w:rsid w:val="00900D71"/>
    <w:rsid w:val="00917EBE"/>
    <w:rsid w:val="00943B46"/>
    <w:rsid w:val="00951FED"/>
    <w:rsid w:val="00955445"/>
    <w:rsid w:val="00956B28"/>
    <w:rsid w:val="009571F4"/>
    <w:rsid w:val="00963C8A"/>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B07B91"/>
    <w:rsid w:val="00B13948"/>
    <w:rsid w:val="00B2158B"/>
    <w:rsid w:val="00B317FF"/>
    <w:rsid w:val="00B345CF"/>
    <w:rsid w:val="00B37774"/>
    <w:rsid w:val="00B41754"/>
    <w:rsid w:val="00B61F1F"/>
    <w:rsid w:val="00B67ECF"/>
    <w:rsid w:val="00B85979"/>
    <w:rsid w:val="00BA59FA"/>
    <w:rsid w:val="00BC3503"/>
    <w:rsid w:val="00C078EE"/>
    <w:rsid w:val="00C135B8"/>
    <w:rsid w:val="00C272CE"/>
    <w:rsid w:val="00C31246"/>
    <w:rsid w:val="00C50ED0"/>
    <w:rsid w:val="00C603AB"/>
    <w:rsid w:val="00C61982"/>
    <w:rsid w:val="00C7130F"/>
    <w:rsid w:val="00C75755"/>
    <w:rsid w:val="00C81FA6"/>
    <w:rsid w:val="00CB2EA0"/>
    <w:rsid w:val="00CB519D"/>
    <w:rsid w:val="00CB6331"/>
    <w:rsid w:val="00CC22BD"/>
    <w:rsid w:val="00CC6B93"/>
    <w:rsid w:val="00CF559F"/>
    <w:rsid w:val="00D0003E"/>
    <w:rsid w:val="00D04B60"/>
    <w:rsid w:val="00D31257"/>
    <w:rsid w:val="00D42168"/>
    <w:rsid w:val="00D46B3B"/>
    <w:rsid w:val="00D50544"/>
    <w:rsid w:val="00D526E7"/>
    <w:rsid w:val="00D573E5"/>
    <w:rsid w:val="00D84536"/>
    <w:rsid w:val="00D87785"/>
    <w:rsid w:val="00D93806"/>
    <w:rsid w:val="00D97CDD"/>
    <w:rsid w:val="00DA062C"/>
    <w:rsid w:val="00DA6395"/>
    <w:rsid w:val="00DB2D37"/>
    <w:rsid w:val="00DB2F18"/>
    <w:rsid w:val="00DB6EF7"/>
    <w:rsid w:val="00DC1FD0"/>
    <w:rsid w:val="00DC709F"/>
    <w:rsid w:val="00E04C58"/>
    <w:rsid w:val="00E36754"/>
    <w:rsid w:val="00E61BDB"/>
    <w:rsid w:val="00E6629F"/>
    <w:rsid w:val="00E66AD2"/>
    <w:rsid w:val="00E92F40"/>
    <w:rsid w:val="00E93F30"/>
    <w:rsid w:val="00EB5A26"/>
    <w:rsid w:val="00EC1ACD"/>
    <w:rsid w:val="00EE68EC"/>
    <w:rsid w:val="00EF0BB3"/>
    <w:rsid w:val="00F274DC"/>
    <w:rsid w:val="00F30463"/>
    <w:rsid w:val="00F60FA7"/>
    <w:rsid w:val="00F62825"/>
    <w:rsid w:val="00F64A92"/>
    <w:rsid w:val="00F72CE4"/>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85"/>
    <w:pPr>
      <w:spacing w:after="140" w:line="300" w:lineRule="atLeast"/>
    </w:pPr>
    <w:rPr>
      <w:rFonts w:ascii="Gill Sans MT" w:eastAsiaTheme="minorHAnsi" w:hAnsi="Gill Sans MT"/>
      <w:sz w:val="22"/>
      <w:szCs w:val="22"/>
    </w:rPr>
  </w:style>
  <w:style w:type="paragraph" w:styleId="Heading1">
    <w:name w:val="heading 1"/>
    <w:basedOn w:val="Normal"/>
    <w:next w:val="Normal"/>
    <w:link w:val="Heading1Char"/>
    <w:uiPriority w:val="1"/>
    <w:qFormat/>
    <w:rsid w:val="00FE0185"/>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FE0185"/>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FE0185"/>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FE0185"/>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rsid w:val="00FE0185"/>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FE0185"/>
    <w:pPr>
      <w:spacing w:before="240" w:after="60" w:line="300" w:lineRule="exact"/>
      <w:outlineLvl w:val="5"/>
    </w:pPr>
    <w:rPr>
      <w:b/>
      <w:bCs/>
    </w:rPr>
  </w:style>
  <w:style w:type="paragraph" w:styleId="Heading7">
    <w:name w:val="heading 7"/>
    <w:basedOn w:val="Normal"/>
    <w:next w:val="Normal"/>
    <w:link w:val="Heading7Char"/>
    <w:uiPriority w:val="99"/>
    <w:rsid w:val="00FE0185"/>
    <w:pPr>
      <w:numPr>
        <w:ilvl w:val="6"/>
        <w:numId w:val="4"/>
      </w:numPr>
      <w:spacing w:before="240" w:after="60" w:line="300" w:lineRule="exact"/>
      <w:outlineLvl w:val="6"/>
    </w:pPr>
    <w:rPr>
      <w:sz w:val="24"/>
    </w:rPr>
  </w:style>
  <w:style w:type="paragraph" w:styleId="Heading8">
    <w:name w:val="heading 8"/>
    <w:basedOn w:val="Normal"/>
    <w:next w:val="Normal"/>
    <w:link w:val="Heading8Char"/>
    <w:uiPriority w:val="99"/>
    <w:rsid w:val="00FE0185"/>
    <w:pPr>
      <w:numPr>
        <w:ilvl w:val="7"/>
        <w:numId w:val="4"/>
      </w:numPr>
      <w:spacing w:before="240" w:after="60" w:line="300" w:lineRule="exact"/>
      <w:outlineLvl w:val="7"/>
    </w:pPr>
    <w:rPr>
      <w:i/>
      <w:iCs/>
      <w:sz w:val="24"/>
    </w:rPr>
  </w:style>
  <w:style w:type="paragraph" w:styleId="Heading9">
    <w:name w:val="heading 9"/>
    <w:basedOn w:val="Normal"/>
    <w:next w:val="Normal"/>
    <w:link w:val="Heading9Char"/>
    <w:uiPriority w:val="99"/>
    <w:rsid w:val="00FE0185"/>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FE01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0185"/>
  </w:style>
  <w:style w:type="paragraph" w:styleId="ListParagraph">
    <w:name w:val="List Paragraph"/>
    <w:basedOn w:val="Normal"/>
    <w:uiPriority w:val="99"/>
    <w:unhideWhenUsed/>
    <w:rsid w:val="00FE0185"/>
    <w:pPr>
      <w:ind w:left="720"/>
      <w:contextualSpacing/>
    </w:pPr>
  </w:style>
  <w:style w:type="paragraph" w:customStyle="1" w:styleId="BulletedListLevel1">
    <w:name w:val="Bulleted List Level 1"/>
    <w:basedOn w:val="ListParagraph"/>
    <w:link w:val="BulletedListLevel1Char"/>
    <w:uiPriority w:val="3"/>
    <w:qFormat/>
    <w:rsid w:val="00FE0185"/>
    <w:pPr>
      <w:numPr>
        <w:numId w:val="1"/>
      </w:numPr>
      <w:contextualSpacing w:val="0"/>
    </w:pPr>
  </w:style>
  <w:style w:type="character" w:customStyle="1" w:styleId="BulletedListLevel1Char">
    <w:name w:val="Bulleted List Level 1 Char"/>
    <w:basedOn w:val="DefaultParagraphFont"/>
    <w:link w:val="BulletedListLevel1"/>
    <w:uiPriority w:val="3"/>
    <w:rsid w:val="00FE0185"/>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FE0185"/>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FE0185"/>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FE0185"/>
    <w:pPr>
      <w:numPr>
        <w:ilvl w:val="2"/>
      </w:numPr>
    </w:pPr>
    <w:rPr>
      <w:snapToGrid/>
    </w:rPr>
  </w:style>
  <w:style w:type="character" w:customStyle="1" w:styleId="BulletedListLevel3Char">
    <w:name w:val="Bulleted List Level 3 Char"/>
    <w:basedOn w:val="BulletedListLevel2Char"/>
    <w:link w:val="BulletedListLevel3"/>
    <w:uiPriority w:val="3"/>
    <w:rsid w:val="00FE0185"/>
    <w:rPr>
      <w:rFonts w:ascii="Gill Sans MT" w:eastAsiaTheme="minorHAnsi" w:hAnsi="Gill Sans MT" w:cs="Arial"/>
      <w:snapToGrid/>
      <w:sz w:val="22"/>
      <w:szCs w:val="22"/>
    </w:rPr>
  </w:style>
  <w:style w:type="numbering" w:customStyle="1" w:styleId="BulletsDoH">
    <w:name w:val="Bullets DoH"/>
    <w:uiPriority w:val="99"/>
    <w:rsid w:val="00FE0185"/>
    <w:pPr>
      <w:numPr>
        <w:numId w:val="2"/>
      </w:numPr>
    </w:pPr>
  </w:style>
  <w:style w:type="paragraph" w:customStyle="1" w:styleId="DepartmentAddress">
    <w:name w:val="Department Address"/>
    <w:next w:val="Normal"/>
    <w:qFormat/>
    <w:rsid w:val="00FE0185"/>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FE0185"/>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FE0185"/>
    <w:rPr>
      <w:color w:val="800080"/>
      <w:u w:val="single"/>
    </w:rPr>
  </w:style>
  <w:style w:type="paragraph" w:customStyle="1" w:styleId="Heading1numbered">
    <w:name w:val="Heading 1 (numbered)"/>
    <w:basedOn w:val="Heading1"/>
    <w:next w:val="Normal"/>
    <w:link w:val="Heading1numberedChar"/>
    <w:uiPriority w:val="2"/>
    <w:qFormat/>
    <w:rsid w:val="00FE0185"/>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FE0185"/>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FE0185"/>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FE0185"/>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FE0185"/>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FE0185"/>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FE0185"/>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FE0185"/>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FE0185"/>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FE0185"/>
    <w:rPr>
      <w:rFonts w:ascii="Gill Sans MT" w:eastAsiaTheme="minorHAnsi" w:hAnsi="Gill Sans MT"/>
      <w:sz w:val="24"/>
      <w:szCs w:val="22"/>
    </w:rPr>
  </w:style>
  <w:style w:type="character" w:customStyle="1" w:styleId="Heading8Char">
    <w:name w:val="Heading 8 Char"/>
    <w:basedOn w:val="DefaultParagraphFont"/>
    <w:link w:val="Heading8"/>
    <w:uiPriority w:val="99"/>
    <w:rsid w:val="00FE0185"/>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FE0185"/>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FE0185"/>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FE0185"/>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FE0185"/>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FE0185"/>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FE0185"/>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FE0185"/>
    <w:rPr>
      <w:color w:val="0000FF"/>
      <w:u w:val="single"/>
    </w:rPr>
  </w:style>
  <w:style w:type="numbering" w:customStyle="1" w:styleId="NumberedListDoH">
    <w:name w:val="Numbered List DoH"/>
    <w:uiPriority w:val="99"/>
    <w:rsid w:val="00FE0185"/>
    <w:pPr>
      <w:numPr>
        <w:numId w:val="5"/>
      </w:numPr>
    </w:pPr>
  </w:style>
  <w:style w:type="paragraph" w:customStyle="1" w:styleId="NumberedListStyle">
    <w:name w:val="Numbered List Style"/>
    <w:basedOn w:val="Normal"/>
    <w:link w:val="NumberedListStyleChar"/>
    <w:uiPriority w:val="4"/>
    <w:qFormat/>
    <w:rsid w:val="00FE0185"/>
    <w:pPr>
      <w:numPr>
        <w:numId w:val="6"/>
      </w:numPr>
    </w:pPr>
    <w:rPr>
      <w:rFonts w:eastAsia="Times New Roman" w:cs="Times New Roman"/>
      <w:szCs w:val="20"/>
    </w:rPr>
  </w:style>
  <w:style w:type="character" w:customStyle="1" w:styleId="NumberedListStyleChar">
    <w:name w:val="Numbered List Style Char"/>
    <w:basedOn w:val="DefaultParagraphFont"/>
    <w:link w:val="NumberedListStyle"/>
    <w:uiPriority w:val="4"/>
    <w:rsid w:val="00FE0185"/>
    <w:rPr>
      <w:rFonts w:ascii="Gill Sans MT" w:eastAsia="Times New Roman" w:hAnsi="Gill Sans MT" w:cs="Times New Roman"/>
      <w:sz w:val="22"/>
      <w:szCs w:val="20"/>
    </w:rPr>
  </w:style>
  <w:style w:type="paragraph" w:customStyle="1" w:styleId="TableText">
    <w:name w:val="Table Text"/>
    <w:basedOn w:val="Normal"/>
    <w:uiPriority w:val="4"/>
    <w:qFormat/>
    <w:rsid w:val="00FE0185"/>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hyperlink" Target="http://www.dhhs.tas.gov.au/publichealth/tasmanian_infection_prevention_and_control_unit" TargetMode="External"/><Relationship Id="rId18" Type="http://schemas.openxmlformats.org/officeDocument/2006/relationships/hyperlink" Target="http://www.health.gov.au/internet/main/publishing.nsf/Content/cda-cdna-noroviru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hhs.tas.gov.au/service_information/services_files/infectious_diseases_communicable_diseases" TargetMode="External"/><Relationship Id="rId7" Type="http://schemas.openxmlformats.org/officeDocument/2006/relationships/endnotes" Target="endnotes.xml"/><Relationship Id="rId12" Type="http://schemas.openxmlformats.org/officeDocument/2006/relationships/hyperlink" Target="http://education.safetyandquality.gov.au/login.php" TargetMode="External"/><Relationship Id="rId17" Type="http://schemas.openxmlformats.org/officeDocument/2006/relationships/hyperlink" Target="http://www.health.gov.au/internet/main/publishing.nsf/Content/ageing-publicat-gastro-kit.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alth.gov.au/internet/main/publishing.nsf/Content/ageing-publicat-influinfo.htm" TargetMode="External"/><Relationship Id="rId20" Type="http://schemas.openxmlformats.org/officeDocument/2006/relationships/hyperlink" Target="http://www9.health.gov.au/cda/source/cda-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tas.gov.au/publichealth/tasmanian_infection_prevention_and_control_un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o.int/gpsc/en/index.html" TargetMode="External"/><Relationship Id="rId23" Type="http://schemas.openxmlformats.org/officeDocument/2006/relationships/header" Target="header2.xml"/><Relationship Id="rId10" Type="http://schemas.openxmlformats.org/officeDocument/2006/relationships/hyperlink" Target="http://www.nhmrc.gov.au/node/30290" TargetMode="External"/><Relationship Id="rId19" Type="http://schemas.openxmlformats.org/officeDocument/2006/relationships/hyperlink" Target="http://www.health.gov.au/internet/main/publishing.nsf/content/cda-cdna-index.htm" TargetMode="External"/><Relationship Id="rId4" Type="http://schemas.openxmlformats.org/officeDocument/2006/relationships/settings" Target="settings.xml"/><Relationship Id="rId9" Type="http://schemas.openxmlformats.org/officeDocument/2006/relationships/hyperlink" Target="http://www.safetyandquality.gov.au/" TargetMode="External"/><Relationship Id="rId14" Type="http://schemas.openxmlformats.org/officeDocument/2006/relationships/hyperlink" Target="http://www.hha.org.au/home.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4473-E179-49E9-BF92-0EACEC2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771</Words>
  <Characters>6875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dc:title>
  <dc:subject>NEPT</dc:subject>
  <dc:creator>Goc, Tamlyn J</dc:creator>
  <cp:keywords>NEPT</cp:keywords>
  <cp:lastModifiedBy>Bastion, Marissa</cp:lastModifiedBy>
  <cp:revision>5</cp:revision>
  <cp:lastPrinted>2019-02-07T05:34:00Z</cp:lastPrinted>
  <dcterms:created xsi:type="dcterms:W3CDTF">2019-02-18T05:19:00Z</dcterms:created>
  <dcterms:modified xsi:type="dcterms:W3CDTF">2019-02-18T05:39:00Z</dcterms:modified>
  <cp:category>NEPT</cp:category>
</cp:coreProperties>
</file>