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b w:val="0"/>
          <w:sz w:val="24"/>
        </w:rPr>
        <w:id w:val="-1878855385"/>
        <w:docPartObj>
          <w:docPartGallery w:val="Cover Pages"/>
          <w:docPartUnique/>
        </w:docPartObj>
      </w:sdtPr>
      <w:sdtEndPr>
        <w:rPr>
          <w:rFonts w:ascii="Arial" w:hAnsi="Arial" w:cs="Arial"/>
          <w:color w:val="005A96"/>
        </w:rPr>
      </w:sdtEndPr>
      <w:sdtContent>
        <w:p w14:paraId="70736FEB" w14:textId="5D3325D2" w:rsidR="005A5AD3" w:rsidRPr="009C5C12" w:rsidRDefault="008A003A" w:rsidP="009C5C12">
          <w:pPr>
            <w:pStyle w:val="Heading1"/>
            <w:spacing w:after="480"/>
            <w:rPr>
              <w:rFonts w:ascii="Arial" w:hAnsi="Arial" w:cs="Arial"/>
              <w:color w:val="005A96"/>
              <w:spacing w:val="-20"/>
              <w:sz w:val="56"/>
              <w:szCs w:val="56"/>
            </w:rPr>
          </w:pPr>
          <w:r w:rsidRPr="009C5C12">
            <w:rPr>
              <w:noProof/>
              <w:sz w:val="36"/>
              <w:szCs w:val="22"/>
            </w:rPr>
            <w:drawing>
              <wp:anchor distT="0" distB="0" distL="114300" distR="114300" simplePos="0" relativeHeight="251658237" behindDoc="1" locked="0" layoutInCell="1" allowOverlap="1" wp14:anchorId="0D04C740" wp14:editId="56A7FA56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9999" cy="10685645"/>
                <wp:effectExtent l="0" t="0" r="3175" b="1905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 preferRelativeResize="0"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999" cy="1068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120E3" w:rsidRPr="009C5C12">
            <w:rPr>
              <w:rFonts w:ascii="Arial" w:hAnsi="Arial" w:cs="Arial"/>
              <w:color w:val="005A96"/>
              <w:spacing w:val="-20"/>
              <w:sz w:val="56"/>
              <w:szCs w:val="56"/>
            </w:rPr>
            <w:t>Bilateral Agreement for Mental Health and Suicide Prevention</w:t>
          </w:r>
        </w:p>
        <w:p w14:paraId="4A881B84" w14:textId="09D3C36A" w:rsidR="001A46E6" w:rsidRDefault="00BC047B" w:rsidP="00921E4B">
          <w:pPr>
            <w:pStyle w:val="Heading1"/>
            <w:spacing w:line="240" w:lineRule="auto"/>
            <w:rPr>
              <w:rFonts w:ascii="Arial" w:hAnsi="Arial" w:cs="Arial"/>
              <w:color w:val="005A96"/>
              <w:spacing w:val="-20"/>
            </w:rPr>
          </w:pPr>
          <w:r>
            <w:rPr>
              <w:rFonts w:ascii="Arial" w:hAnsi="Arial" w:cs="Arial"/>
              <w:color w:val="005A96"/>
              <w:spacing w:val="-20"/>
            </w:rPr>
            <w:t xml:space="preserve">Fact Sheet </w:t>
          </w:r>
          <w:r w:rsidRPr="009C5C12">
            <w:rPr>
              <w:rFonts w:ascii="Arial" w:hAnsi="Arial" w:cs="Arial"/>
              <w:color w:val="005A96"/>
              <w:spacing w:val="-20"/>
            </w:rPr>
            <w:t xml:space="preserve">| </w:t>
          </w:r>
          <w:r w:rsidR="00CA3FD1" w:rsidRPr="009C5C12">
            <w:rPr>
              <w:rFonts w:ascii="Arial" w:hAnsi="Arial" w:cs="Arial"/>
              <w:color w:val="005A96"/>
              <w:spacing w:val="-20"/>
            </w:rPr>
            <w:t xml:space="preserve">May </w:t>
          </w:r>
          <w:r w:rsidR="00E120E3" w:rsidRPr="009C5C12">
            <w:rPr>
              <w:rFonts w:ascii="Arial" w:hAnsi="Arial" w:cs="Arial"/>
              <w:color w:val="005A96"/>
              <w:spacing w:val="-20"/>
            </w:rPr>
            <w:t>2022</w:t>
          </w:r>
        </w:p>
        <w:p w14:paraId="53A735B9" w14:textId="50C4DD7C" w:rsidR="00DC41A2" w:rsidRDefault="00DC41A2" w:rsidP="00DC41A2"/>
        <w:p w14:paraId="25223963" w14:textId="788F5E5A" w:rsidR="00DC41A2" w:rsidRPr="00E14F6A" w:rsidRDefault="00E120E3" w:rsidP="00DC41A2">
          <w:pPr>
            <w:spacing w:after="140" w:line="300" w:lineRule="atLeast"/>
            <w:ind w:left="-624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14F6A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The Tasmanian and Australian </w:t>
          </w:r>
          <w:r w:rsidR="002C2805">
            <w:rPr>
              <w:rFonts w:ascii="Arial" w:hAnsi="Arial" w:cs="Arial"/>
              <w:color w:val="000000" w:themeColor="text1"/>
              <w:sz w:val="22"/>
              <w:szCs w:val="22"/>
            </w:rPr>
            <w:t>G</w:t>
          </w:r>
          <w:r w:rsidRPr="00E14F6A">
            <w:rPr>
              <w:rFonts w:ascii="Arial" w:hAnsi="Arial" w:cs="Arial"/>
              <w:color w:val="000000" w:themeColor="text1"/>
              <w:sz w:val="22"/>
              <w:szCs w:val="22"/>
            </w:rPr>
            <w:t>overnments have signed a new bilateral agreement for Mental Health and Suicide Prevention</w:t>
          </w:r>
          <w:r w:rsidR="00E14F6A">
            <w:rPr>
              <w:rFonts w:ascii="Arial" w:hAnsi="Arial" w:cs="Arial"/>
              <w:color w:val="000000" w:themeColor="text1"/>
              <w:sz w:val="22"/>
              <w:szCs w:val="22"/>
            </w:rPr>
            <w:t>. The agreement is</w:t>
          </w:r>
          <w:r w:rsidRPr="00E14F6A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a schedule to the National Mental Health and Suicide Prevention Agreement which was endorsed by National Cabinet on 11 March 2022.</w:t>
          </w:r>
        </w:p>
        <w:p w14:paraId="7D1F4433" w14:textId="4ACA8411" w:rsidR="00E120E3" w:rsidRDefault="00161E5D" w:rsidP="00DC41A2">
          <w:pPr>
            <w:spacing w:after="140" w:line="300" w:lineRule="atLeast"/>
            <w:ind w:left="-624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T</w:t>
          </w:r>
          <w:r w:rsidR="002C2805">
            <w:rPr>
              <w:rFonts w:ascii="Arial" w:hAnsi="Arial" w:cs="Arial"/>
              <w:color w:val="000000" w:themeColor="text1"/>
              <w:sz w:val="22"/>
              <w:szCs w:val="22"/>
            </w:rPr>
            <w:t>his agreement will see an investment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,</w:t>
          </w:r>
          <w:r w:rsidR="002C2805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by the Australian Government, </w:t>
          </w:r>
          <w:r w:rsidR="002C2805">
            <w:rPr>
              <w:rFonts w:ascii="Arial" w:hAnsi="Arial" w:cs="Arial"/>
              <w:color w:val="000000" w:themeColor="text1"/>
              <w:sz w:val="22"/>
              <w:szCs w:val="22"/>
            </w:rPr>
            <w:t>of over $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46</w:t>
          </w:r>
          <w:r w:rsidR="002C2805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million into Tasmania to deliver several initiatives that together will contribute to better health outcomes for </w:t>
          </w:r>
          <w:r w:rsidR="00B95DC3">
            <w:rPr>
              <w:rFonts w:ascii="Arial" w:hAnsi="Arial" w:cs="Arial"/>
              <w:color w:val="000000" w:themeColor="text1"/>
              <w:sz w:val="22"/>
              <w:szCs w:val="22"/>
            </w:rPr>
            <w:t>people living in our State.</w:t>
          </w:r>
          <w:r w:rsidR="00EE6766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  <w:r w:rsidR="002C2805">
            <w:rPr>
              <w:rFonts w:ascii="Arial" w:hAnsi="Arial" w:cs="Arial"/>
              <w:color w:val="000000" w:themeColor="text1"/>
              <w:sz w:val="22"/>
              <w:szCs w:val="22"/>
            </w:rPr>
            <w:t>Importantly, this work aligns with the significant mental health reform program</w:t>
          </w:r>
          <w:r w:rsidR="00EE6766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s </w:t>
          </w:r>
          <w:r w:rsidR="002C2805">
            <w:rPr>
              <w:rFonts w:ascii="Arial" w:hAnsi="Arial" w:cs="Arial"/>
              <w:color w:val="000000" w:themeColor="text1"/>
              <w:sz w:val="22"/>
              <w:szCs w:val="22"/>
            </w:rPr>
            <w:t>in Tasmania</w:t>
          </w:r>
          <w:r w:rsidR="0061109D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and the $108 million investment announced by the Tasmanian Government in the 2021/22 State Budget</w:t>
          </w:r>
          <w:r w:rsidR="002C2805">
            <w:rPr>
              <w:rFonts w:ascii="Arial" w:hAnsi="Arial" w:cs="Arial"/>
              <w:color w:val="000000" w:themeColor="text1"/>
              <w:sz w:val="22"/>
              <w:szCs w:val="22"/>
            </w:rPr>
            <w:t>.</w:t>
          </w:r>
        </w:p>
        <w:p w14:paraId="2DCA0A3A" w14:textId="336E8DBB" w:rsidR="00124B02" w:rsidRPr="00124B02" w:rsidRDefault="00124B02" w:rsidP="009C5C12">
          <w:pPr>
            <w:spacing w:before="600" w:after="140" w:line="300" w:lineRule="atLeast"/>
            <w:ind w:left="-624"/>
            <w:rPr>
              <w:rFonts w:ascii="Arial" w:hAnsi="Arial" w:cs="Arial"/>
              <w:b/>
              <w:bCs/>
              <w:color w:val="005A96"/>
              <w:spacing w:val="-10"/>
              <w:sz w:val="30"/>
              <w:szCs w:val="30"/>
            </w:rPr>
          </w:pPr>
          <w:r w:rsidRPr="00124B02">
            <w:rPr>
              <w:rFonts w:ascii="Arial" w:hAnsi="Arial" w:cs="Arial"/>
              <w:b/>
              <w:bCs/>
              <w:color w:val="005A96"/>
              <w:spacing w:val="-10"/>
              <w:sz w:val="30"/>
              <w:szCs w:val="30"/>
            </w:rPr>
            <w:t>Initiatives for collaboration</w:t>
          </w:r>
        </w:p>
        <w:p w14:paraId="346D5C81" w14:textId="2B3F1309" w:rsidR="00E120E3" w:rsidRPr="00E14F6A" w:rsidRDefault="008D7606" w:rsidP="009C5C12">
          <w:pPr>
            <w:spacing w:after="240" w:line="300" w:lineRule="atLeast"/>
            <w:ind w:left="-624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The agreement provides for a range of co-funded mental health and suicide prevention initiatives, including:</w:t>
          </w:r>
        </w:p>
        <w:p w14:paraId="3CAD0AD8" w14:textId="3C9B67AC" w:rsidR="00963A84" w:rsidRPr="00915C0F" w:rsidRDefault="0074657A" w:rsidP="00C823BE">
          <w:pPr>
            <w:pStyle w:val="ListParagraph"/>
            <w:numPr>
              <w:ilvl w:val="0"/>
              <w:numId w:val="7"/>
            </w:numPr>
            <w:spacing w:after="140" w:line="300" w:lineRule="atLeast"/>
            <w:ind w:left="91" w:hanging="357"/>
            <w:contextualSpacing w:val="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E</w:t>
          </w:r>
          <w:r w:rsidR="00E14F6A"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stablish</w:t>
          </w:r>
          <w:r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ing</w:t>
          </w:r>
          <w:r w:rsidR="00E14F6A"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 and operat</w:t>
          </w:r>
          <w:r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ing</w:t>
          </w:r>
          <w:r w:rsidR="00E14F6A"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 three Head to Health Adult Mental Health satellite clinics in Tasmania</w:t>
          </w:r>
          <w:r w:rsidR="00D83D2E" w:rsidRPr="00C823BE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, </w:t>
          </w:r>
          <w:bookmarkStart w:id="0" w:name="_Hlk102650084"/>
          <w:r w:rsidR="00D83D2E" w:rsidRPr="00C823BE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with two likely to </w:t>
          </w:r>
          <w:r w:rsidR="00526B80" w:rsidRPr="00915C0F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be located in Burnie and Devonport and one</w:t>
          </w:r>
          <w:r w:rsidR="00963A84"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 </w:t>
          </w:r>
          <w:r w:rsidR="00915C0F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in the outer Hobart area</w:t>
          </w:r>
          <w:r w:rsidR="00BB4A82"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.</w:t>
          </w:r>
          <w:r w:rsidR="00BB4A82" w:rsidRPr="00C823BE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</w:p>
        <w:p w14:paraId="2005BDFF" w14:textId="65774C6B" w:rsidR="00334247" w:rsidRDefault="00334247" w:rsidP="000D6A0D">
          <w:pPr>
            <w:pStyle w:val="ListParagraph"/>
            <w:numPr>
              <w:ilvl w:val="1"/>
              <w:numId w:val="7"/>
            </w:numPr>
            <w:spacing w:after="140" w:line="300" w:lineRule="atLeast"/>
            <w:contextualSpacing w:val="0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This includes ongoing funding for operation of the existing Head to Health Centre in Launceston.</w:t>
          </w:r>
        </w:p>
        <w:p w14:paraId="3A33ADCA" w14:textId="1CDE87A0" w:rsidR="00D4615B" w:rsidRDefault="00963A84" w:rsidP="000D6A0D">
          <w:pPr>
            <w:pStyle w:val="ListParagraph"/>
            <w:numPr>
              <w:ilvl w:val="1"/>
              <w:numId w:val="7"/>
            </w:numPr>
            <w:spacing w:after="140" w:line="300" w:lineRule="atLeast"/>
            <w:contextualSpacing w:val="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2F02C2">
            <w:rPr>
              <w:rFonts w:ascii="Arial" w:hAnsi="Arial" w:cs="Arial"/>
              <w:color w:val="000000" w:themeColor="text1"/>
              <w:sz w:val="22"/>
              <w:szCs w:val="22"/>
            </w:rPr>
            <w:t>These services</w:t>
          </w:r>
          <w:r w:rsidR="000D6A0D" w:rsidRPr="002F02C2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  <w:r w:rsidR="005E48A1">
            <w:rPr>
              <w:rFonts w:ascii="Arial" w:hAnsi="Arial" w:cs="Arial"/>
              <w:color w:val="000000" w:themeColor="text1"/>
              <w:sz w:val="22"/>
              <w:szCs w:val="22"/>
            </w:rPr>
            <w:t>are in addition to</w:t>
          </w:r>
          <w:r w:rsidR="00723218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the </w:t>
          </w:r>
          <w:r w:rsidRPr="002F02C2">
            <w:rPr>
              <w:rFonts w:ascii="Arial" w:hAnsi="Arial" w:cs="Arial"/>
              <w:color w:val="000000" w:themeColor="text1"/>
              <w:sz w:val="22"/>
              <w:szCs w:val="22"/>
            </w:rPr>
            <w:t>two new Integration Hubs</w:t>
          </w:r>
          <w:r w:rsidR="000D6A0D" w:rsidRPr="002F02C2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under development at the Peacock Centre in North Hobart and at St John’s Park in New Town, as part of the Tasmanian Mental Health Reform Program. </w:t>
          </w:r>
        </w:p>
        <w:p w14:paraId="45D71DAE" w14:textId="51BC2712" w:rsidR="000D6A0D" w:rsidRPr="002F02C2" w:rsidRDefault="000D6A0D">
          <w:pPr>
            <w:pStyle w:val="ListParagraph"/>
            <w:numPr>
              <w:ilvl w:val="1"/>
              <w:numId w:val="7"/>
            </w:numPr>
            <w:spacing w:after="140" w:line="300" w:lineRule="atLeast"/>
            <w:contextualSpacing w:val="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2F02C2">
            <w:rPr>
              <w:rFonts w:ascii="Arial" w:hAnsi="Arial" w:cs="Arial"/>
              <w:color w:val="000000" w:themeColor="text1"/>
              <w:sz w:val="22"/>
              <w:szCs w:val="22"/>
            </w:rPr>
            <w:t>The Integration Hubs will be co-branded as Head to Health Hubs</w:t>
          </w:r>
          <w:r w:rsidR="003D629F" w:rsidRPr="002F02C2">
            <w:rPr>
              <w:rFonts w:ascii="Arial" w:hAnsi="Arial" w:cs="Arial"/>
              <w:color w:val="000000" w:themeColor="text1"/>
              <w:sz w:val="22"/>
              <w:szCs w:val="22"/>
            </w:rPr>
            <w:t>,</w:t>
          </w:r>
          <w:r w:rsidRPr="002F02C2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will form part of the Head to Health network</w:t>
          </w:r>
          <w:r w:rsidR="003D629F" w:rsidRPr="002F02C2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, </w:t>
          </w:r>
          <w:r w:rsidR="00D4615B">
            <w:rPr>
              <w:rFonts w:ascii="Arial" w:hAnsi="Arial" w:cs="Arial"/>
              <w:color w:val="000000" w:themeColor="text1"/>
              <w:sz w:val="22"/>
              <w:szCs w:val="22"/>
            </w:rPr>
            <w:t>and</w:t>
          </w:r>
          <w:r w:rsidR="003D629F" w:rsidRPr="002F02C2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care</w:t>
          </w:r>
          <w:r w:rsidR="00D4615B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will be</w:t>
          </w:r>
          <w:r w:rsidR="003D629F" w:rsidRPr="002F02C2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delivered through multidisciplinary teams including lived experience workers</w:t>
          </w:r>
          <w:r w:rsidRPr="002F02C2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. </w:t>
          </w:r>
        </w:p>
        <w:bookmarkEnd w:id="0"/>
        <w:p w14:paraId="03E2FC19" w14:textId="77777777" w:rsidR="000D6A0D" w:rsidRPr="00BB01A1" w:rsidRDefault="0074657A" w:rsidP="009C5C12">
          <w:pPr>
            <w:pStyle w:val="Doublespacingaboverecommendationbackground"/>
            <w:numPr>
              <w:ilvl w:val="0"/>
              <w:numId w:val="7"/>
            </w:numPr>
            <w:spacing w:before="240" w:after="140" w:line="300" w:lineRule="atLeast"/>
            <w:ind w:left="91" w:hanging="357"/>
            <w:rPr>
              <w:rFonts w:ascii="Arial" w:hAnsi="Arial" w:cs="Arial"/>
              <w:b w:val="0"/>
              <w:bCs w:val="0"/>
              <w:color w:val="000000" w:themeColor="text1"/>
              <w:sz w:val="22"/>
              <w:szCs w:val="22"/>
            </w:rPr>
          </w:pPr>
          <w:r w:rsidRPr="000D6A0D">
            <w:rPr>
              <w:rFonts w:ascii="Arial" w:hAnsi="Arial" w:cs="Arial"/>
              <w:color w:val="000000" w:themeColor="text1"/>
              <w:sz w:val="22"/>
              <w:szCs w:val="22"/>
            </w:rPr>
            <w:t>I</w:t>
          </w:r>
          <w:r w:rsidR="00E14F6A" w:rsidRPr="000D6A0D">
            <w:rPr>
              <w:rFonts w:ascii="Arial" w:hAnsi="Arial" w:cs="Arial"/>
              <w:color w:val="000000" w:themeColor="text1"/>
              <w:sz w:val="22"/>
              <w:szCs w:val="22"/>
            </w:rPr>
            <w:t>ntegrati</w:t>
          </w:r>
          <w:r w:rsidRPr="000D6A0D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ng </w:t>
          </w:r>
          <w:r w:rsidR="00E14F6A" w:rsidRPr="000D6A0D">
            <w:rPr>
              <w:rFonts w:ascii="Arial" w:hAnsi="Arial" w:cs="Arial"/>
              <w:color w:val="000000" w:themeColor="text1"/>
              <w:sz w:val="22"/>
              <w:szCs w:val="22"/>
            </w:rPr>
            <w:t>three Head to Health Kids Hubs within three new Child and Family Learning Centres</w:t>
          </w:r>
          <w:r w:rsidR="00C51046" w:rsidRPr="000D6A0D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(CFLCs)</w:t>
          </w:r>
          <w:r w:rsidRPr="000D6A0D">
            <w:rPr>
              <w:rFonts w:ascii="Arial" w:hAnsi="Arial" w:cs="Arial"/>
              <w:color w:val="000000" w:themeColor="text1"/>
              <w:sz w:val="22"/>
              <w:szCs w:val="22"/>
            </w:rPr>
            <w:t>.</w:t>
          </w:r>
          <w:r w:rsidR="00C51046" w:rsidRPr="000D6A0D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</w:p>
        <w:p w14:paraId="6CA8463B" w14:textId="5AB12D60" w:rsidR="00E14F6A" w:rsidRDefault="00C51046" w:rsidP="000D6A0D">
          <w:pPr>
            <w:pStyle w:val="Doublespacingaboverecommendationbackground"/>
            <w:numPr>
              <w:ilvl w:val="1"/>
              <w:numId w:val="7"/>
            </w:numPr>
            <w:spacing w:before="120" w:after="140" w:line="300" w:lineRule="atLeast"/>
            <w:rPr>
              <w:rFonts w:ascii="Arial" w:hAnsi="Arial" w:cs="Arial"/>
              <w:b w:val="0"/>
              <w:bCs w:val="0"/>
              <w:color w:val="000000" w:themeColor="text1"/>
              <w:sz w:val="22"/>
              <w:szCs w:val="22"/>
            </w:rPr>
          </w:pPr>
          <w:bookmarkStart w:id="1" w:name="_Hlk102650095"/>
          <w:r w:rsidRPr="00BB01A1">
            <w:rPr>
              <w:rFonts w:ascii="Arial" w:hAnsi="Arial" w:cs="Arial"/>
              <w:b w:val="0"/>
              <w:bCs w:val="0"/>
              <w:color w:val="000000" w:themeColor="text1"/>
              <w:sz w:val="22"/>
              <w:szCs w:val="22"/>
            </w:rPr>
            <w:t xml:space="preserve">This process will be undertaken flexibly to consider both Tasmania’s existing CFLC service model and alignment with </w:t>
          </w:r>
          <w:r w:rsidR="006054D8" w:rsidRPr="00BB01A1">
            <w:rPr>
              <w:rFonts w:ascii="Arial" w:hAnsi="Arial" w:cs="Arial"/>
              <w:b w:val="0"/>
              <w:bCs w:val="0"/>
              <w:color w:val="000000" w:themeColor="text1"/>
              <w:sz w:val="22"/>
              <w:szCs w:val="22"/>
            </w:rPr>
            <w:t>the Head to Health Kids Service Model principles.</w:t>
          </w:r>
          <w:r w:rsidR="000D6A0D">
            <w:rPr>
              <w:rFonts w:ascii="Arial" w:hAnsi="Arial" w:cs="Arial"/>
              <w:b w:val="0"/>
              <w:bCs w:val="0"/>
              <w:color w:val="000000" w:themeColor="text1"/>
              <w:sz w:val="22"/>
              <w:szCs w:val="22"/>
            </w:rPr>
            <w:t xml:space="preserve"> The new CFLCs will be co-branded as Kids Head to Health Service Hubs. </w:t>
          </w:r>
        </w:p>
        <w:p w14:paraId="5A26ACDE" w14:textId="142ED99A" w:rsidR="000D6A0D" w:rsidRPr="005E48A1" w:rsidRDefault="000D6A0D" w:rsidP="00BB01A1">
          <w:pPr>
            <w:pStyle w:val="Doublespacingaboverecommendationbackground"/>
            <w:numPr>
              <w:ilvl w:val="1"/>
              <w:numId w:val="7"/>
            </w:numPr>
            <w:spacing w:before="120" w:after="140" w:line="300" w:lineRule="atLeast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 w:val="0"/>
              <w:bCs w:val="0"/>
              <w:color w:val="000000" w:themeColor="text1"/>
              <w:sz w:val="22"/>
              <w:szCs w:val="22"/>
            </w:rPr>
            <w:lastRenderedPageBreak/>
            <w:t>These services will provide a multi-disciplinary team approach to the care of children and align with Tasmania’s response to the review of the Child and Adolescent Mental Health Service</w:t>
          </w:r>
          <w:r w:rsidR="003D629F">
            <w:rPr>
              <w:rFonts w:ascii="Arial" w:hAnsi="Arial" w:cs="Arial"/>
              <w:b w:val="0"/>
              <w:bCs w:val="0"/>
              <w:color w:val="000000" w:themeColor="text1"/>
              <w:sz w:val="22"/>
              <w:szCs w:val="22"/>
            </w:rPr>
            <w:t xml:space="preserve"> (CAMHS)</w:t>
          </w:r>
          <w:r>
            <w:rPr>
              <w:rFonts w:ascii="Arial" w:hAnsi="Arial" w:cs="Arial"/>
              <w:b w:val="0"/>
              <w:bCs w:val="0"/>
              <w:color w:val="000000" w:themeColor="text1"/>
              <w:sz w:val="22"/>
              <w:szCs w:val="22"/>
            </w:rPr>
            <w:t xml:space="preserve">. </w:t>
          </w:r>
        </w:p>
        <w:bookmarkEnd w:id="1"/>
        <w:p w14:paraId="00DD835F" w14:textId="17CEE43E" w:rsidR="0074657A" w:rsidRDefault="0074657A" w:rsidP="009C5C12">
          <w:pPr>
            <w:pStyle w:val="ListParagraph"/>
            <w:numPr>
              <w:ilvl w:val="0"/>
              <w:numId w:val="7"/>
            </w:numPr>
            <w:spacing w:before="240" w:after="140" w:line="300" w:lineRule="atLeast"/>
            <w:ind w:left="91" w:hanging="357"/>
            <w:contextualSpacing w:val="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E</w:t>
          </w:r>
          <w:r w:rsidR="00E14F6A"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stablish</w:t>
          </w:r>
          <w:r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ing </w:t>
          </w:r>
          <w:r w:rsidR="00E14F6A"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and operati</w:t>
          </w:r>
          <w:r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ng a new headspace site in </w:t>
          </w:r>
          <w:proofErr w:type="gramStart"/>
          <w:r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Tasmania</w:t>
          </w:r>
          <w:r w:rsidR="00B70093"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, and</w:t>
          </w:r>
          <w:proofErr w:type="gramEnd"/>
          <w:r w:rsidR="00B70093"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 working in partnership to improve access to multidisciplinary youth mental health services in Tasmania, ensuring integration with existing services</w:t>
          </w:r>
          <w:r w:rsidR="00B70093">
            <w:rPr>
              <w:rFonts w:ascii="Arial" w:hAnsi="Arial" w:cs="Arial"/>
              <w:color w:val="000000" w:themeColor="text1"/>
              <w:sz w:val="22"/>
              <w:szCs w:val="22"/>
            </w:rPr>
            <w:t>.</w:t>
          </w:r>
        </w:p>
        <w:p w14:paraId="05459D53" w14:textId="51EBC2A9" w:rsidR="000D6A0D" w:rsidRDefault="003D629F" w:rsidP="00BB01A1">
          <w:pPr>
            <w:pStyle w:val="ListParagraph"/>
            <w:numPr>
              <w:ilvl w:val="1"/>
              <w:numId w:val="7"/>
            </w:numPr>
            <w:spacing w:after="140" w:line="300" w:lineRule="atLeast"/>
            <w:contextualSpacing w:val="0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These services will increase access to youth mental health services in alignment with Tasmania’s youth mental health reform program which was developed in response to the CAMHS review.  </w:t>
          </w:r>
        </w:p>
        <w:p w14:paraId="402C9008" w14:textId="674B58B3" w:rsidR="0074657A" w:rsidRPr="00BB4A82" w:rsidRDefault="0074657A" w:rsidP="009C5C12">
          <w:pPr>
            <w:pStyle w:val="ListParagraph"/>
            <w:numPr>
              <w:ilvl w:val="0"/>
              <w:numId w:val="7"/>
            </w:numPr>
            <w:spacing w:before="240" w:after="140" w:line="300" w:lineRule="atLeast"/>
            <w:ind w:left="91" w:hanging="357"/>
            <w:contextualSpacing w:val="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Supporting perinatal mental health screening services</w:t>
          </w:r>
          <w:r w:rsidR="00B70093"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, including </w:t>
          </w:r>
          <w:r w:rsidR="00E6322D"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identifying and addressing gaps in screening,</w:t>
          </w:r>
          <w:r w:rsidR="00E6322D" w:rsidRPr="00E6322D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building on existing infrastructure to enhance digital </w:t>
          </w:r>
          <w:proofErr w:type="gramStart"/>
          <w:r w:rsidR="00E6322D" w:rsidRPr="00E6322D">
            <w:rPr>
              <w:rFonts w:ascii="Arial" w:hAnsi="Arial" w:cs="Arial"/>
              <w:color w:val="000000" w:themeColor="text1"/>
              <w:sz w:val="22"/>
              <w:szCs w:val="22"/>
            </w:rPr>
            <w:t>capture</w:t>
          </w:r>
          <w:proofErr w:type="gramEnd"/>
          <w:r w:rsidR="00E6322D" w:rsidRPr="00E6322D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and reporting of screening data from public antenatal and postnatal care settings, and </w:t>
          </w:r>
          <w:r w:rsidR="00E6322D">
            <w:rPr>
              <w:rFonts w:ascii="Arial" w:hAnsi="Arial" w:cs="Arial"/>
              <w:color w:val="000000" w:themeColor="text1"/>
              <w:sz w:val="22"/>
              <w:szCs w:val="22"/>
            </w:rPr>
            <w:t>w</w:t>
          </w:r>
          <w:r w:rsidR="00E6322D" w:rsidRPr="00031678">
            <w:rPr>
              <w:rFonts w:ascii="Arial" w:hAnsi="Arial" w:cs="Arial"/>
              <w:color w:val="000000" w:themeColor="text1"/>
              <w:sz w:val="22"/>
              <w:szCs w:val="22"/>
            </w:rPr>
            <w:t>orking towards providing nationally consiste</w:t>
          </w:r>
          <w:r w:rsidR="00E6322D">
            <w:rPr>
              <w:rFonts w:ascii="Arial" w:hAnsi="Arial" w:cs="Arial"/>
              <w:color w:val="000000" w:themeColor="text1"/>
              <w:sz w:val="22"/>
              <w:szCs w:val="22"/>
            </w:rPr>
            <w:t>nt data to the Australian Institute of Health and Welfare</w:t>
          </w:r>
          <w:r w:rsidRPr="00031678">
            <w:rPr>
              <w:rFonts w:ascii="Arial" w:hAnsi="Arial" w:cs="Arial"/>
              <w:color w:val="000000" w:themeColor="text1"/>
              <w:sz w:val="22"/>
              <w:szCs w:val="22"/>
            </w:rPr>
            <w:t>.</w:t>
          </w:r>
          <w:r w:rsidR="003D629F">
            <w:rPr>
              <w:rFonts w:ascii="Arial" w:hAnsi="Arial" w:cs="Arial"/>
              <w:color w:val="000000" w:themeColor="text1"/>
              <w:sz w:val="22"/>
              <w:szCs w:val="22"/>
            </w:rPr>
            <w:tab/>
          </w:r>
        </w:p>
        <w:p w14:paraId="6138FC9A" w14:textId="7716DC56" w:rsidR="00E14F6A" w:rsidRDefault="0074657A" w:rsidP="009C5C12">
          <w:pPr>
            <w:pStyle w:val="ListParagraph"/>
            <w:numPr>
              <w:ilvl w:val="0"/>
              <w:numId w:val="7"/>
            </w:numPr>
            <w:spacing w:before="240" w:after="140" w:line="300" w:lineRule="atLeast"/>
            <w:ind w:left="91" w:hanging="357"/>
            <w:contextualSpacing w:val="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Establishing and operating three eating disorders day programs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  <w:bookmarkStart w:id="2" w:name="_Hlk102650198"/>
          <w:r>
            <w:rPr>
              <w:rFonts w:ascii="Arial" w:hAnsi="Arial" w:cs="Arial"/>
              <w:color w:val="000000" w:themeColor="text1"/>
              <w:sz w:val="22"/>
              <w:szCs w:val="22"/>
            </w:rPr>
            <w:t>which will be integrated within the stepped system of care for eating disorder services in Tasmania</w:t>
          </w:r>
          <w:r w:rsidR="00E6322D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and ensuring Tasmania’s residential eating disorder centre is completed through the Community Health and Hospitals Program Agreement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.</w:t>
          </w:r>
          <w:bookmarkEnd w:id="2"/>
        </w:p>
        <w:p w14:paraId="7DCA0252" w14:textId="548C9208" w:rsidR="00DC41A2" w:rsidRPr="00571C9E" w:rsidRDefault="00571C9E" w:rsidP="009C5C12">
          <w:pPr>
            <w:pStyle w:val="ListParagraph"/>
            <w:numPr>
              <w:ilvl w:val="0"/>
              <w:numId w:val="7"/>
            </w:numPr>
            <w:spacing w:before="240" w:after="140" w:line="300" w:lineRule="atLeast"/>
            <w:ind w:left="91" w:hanging="357"/>
            <w:contextualSpacing w:val="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Delivering psychosocial </w:t>
          </w:r>
          <w:r w:rsidR="0074657A"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aftercare </w:t>
          </w:r>
          <w:r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follow-up </w:t>
          </w:r>
          <w:r w:rsidR="0074657A"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services to </w:t>
          </w:r>
          <w:r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support individuals discharged from an emergency department </w:t>
          </w:r>
          <w:r w:rsidRPr="00C63C79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after a suicide attempt or suicidal crisis, in the community, for up to three </w:t>
          </w:r>
          <w:r w:rsidRPr="00571C9E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months. </w:t>
          </w:r>
        </w:p>
        <w:p w14:paraId="28FC8DB9" w14:textId="0CE5B904" w:rsidR="00334247" w:rsidRDefault="00334247" w:rsidP="00334247">
          <w:pPr>
            <w:pStyle w:val="ListParagraph"/>
            <w:numPr>
              <w:ilvl w:val="0"/>
              <w:numId w:val="7"/>
            </w:numPr>
            <w:spacing w:before="240" w:after="140" w:line="300" w:lineRule="atLeast"/>
            <w:ind w:left="91" w:hanging="357"/>
            <w:contextualSpacing w:val="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6E0E47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Adopting and supporting the use of the Initial Assessment and Referral</w:t>
          </w:r>
          <w:r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 (IAR)</w:t>
          </w:r>
          <w:r w:rsidRPr="006E0E47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model and digital decision support tool 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to support consistent intake, referral and integration across all mental health care and clinical services in Tasmania, as well as general practice. </w:t>
          </w:r>
        </w:p>
        <w:p w14:paraId="7BD5C261" w14:textId="77777777" w:rsidR="00334247" w:rsidRDefault="00334247" w:rsidP="00334247">
          <w:pPr>
            <w:pStyle w:val="ListParagraph"/>
            <w:numPr>
              <w:ilvl w:val="1"/>
              <w:numId w:val="7"/>
            </w:numPr>
            <w:spacing w:after="140" w:line="300" w:lineRule="atLeast"/>
            <w:contextualSpacing w:val="0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This work will include reviewing Tasmanian Health Pathways against the IAR levels of care and establishing new referral pathways as appropriate.</w:t>
          </w:r>
        </w:p>
        <w:p w14:paraId="0EE8BCF5" w14:textId="77777777" w:rsidR="006F0FB8" w:rsidRDefault="00E6322D" w:rsidP="009C5C12">
          <w:pPr>
            <w:pStyle w:val="ListParagraph"/>
            <w:numPr>
              <w:ilvl w:val="0"/>
              <w:numId w:val="7"/>
            </w:numPr>
            <w:spacing w:before="240" w:after="140" w:line="300" w:lineRule="atLeast"/>
            <w:contextualSpacing w:val="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BB01A1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Implementing a single, statewide intake and assessment phone service</w:t>
          </w:r>
          <w:r w:rsidRPr="00DF1998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that integrates with Tasmania’s existing state-based systems. </w:t>
          </w:r>
        </w:p>
        <w:p w14:paraId="1FDD2142" w14:textId="67A7CA53" w:rsidR="006F0FB8" w:rsidRDefault="00E6322D" w:rsidP="006F0FB8">
          <w:pPr>
            <w:pStyle w:val="ListParagraph"/>
            <w:numPr>
              <w:ilvl w:val="1"/>
              <w:numId w:val="7"/>
            </w:numPr>
            <w:spacing w:after="140" w:line="300" w:lineRule="atLeast"/>
            <w:contextualSpacing w:val="0"/>
            <w:rPr>
              <w:rFonts w:ascii="Arial" w:hAnsi="Arial" w:cs="Arial"/>
              <w:color w:val="000000" w:themeColor="text1"/>
              <w:sz w:val="22"/>
              <w:szCs w:val="22"/>
            </w:rPr>
          </w:pPr>
          <w:bookmarkStart w:id="3" w:name="_Hlk102650250"/>
          <w:r w:rsidRPr="00DF1998">
            <w:rPr>
              <w:rFonts w:ascii="Arial" w:hAnsi="Arial" w:cs="Arial"/>
              <w:color w:val="000000" w:themeColor="text1"/>
              <w:sz w:val="22"/>
              <w:szCs w:val="22"/>
            </w:rPr>
            <w:t>Th</w:t>
          </w:r>
          <w:r w:rsidR="001213A6">
            <w:rPr>
              <w:rFonts w:ascii="Arial" w:hAnsi="Arial" w:cs="Arial"/>
              <w:color w:val="000000" w:themeColor="text1"/>
              <w:sz w:val="22"/>
              <w:szCs w:val="22"/>
            </w:rPr>
            <w:t>is Central Intake and Referral S</w:t>
          </w:r>
          <w:r w:rsidRPr="00DF1998">
            <w:rPr>
              <w:rFonts w:ascii="Arial" w:hAnsi="Arial" w:cs="Arial"/>
              <w:color w:val="000000" w:themeColor="text1"/>
              <w:sz w:val="22"/>
              <w:szCs w:val="22"/>
            </w:rPr>
            <w:t>ervice</w:t>
          </w:r>
          <w:r w:rsidR="00CF1C4C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(CIRS)</w:t>
          </w:r>
          <w:r w:rsidRPr="00DF1998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will be staffed by therapeutic professionals who will offer compassionate and consistent triage using the Initial Assessment and Referral tool, supporting referrals to the most appropriate local services.</w:t>
          </w:r>
          <w:r w:rsidR="006F0FB8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</w:p>
        <w:p w14:paraId="649ED894" w14:textId="7C56CD59" w:rsidR="00E6322D" w:rsidRDefault="006F0FB8" w:rsidP="006F0FB8">
          <w:pPr>
            <w:pStyle w:val="ListParagraph"/>
            <w:numPr>
              <w:ilvl w:val="1"/>
              <w:numId w:val="7"/>
            </w:numPr>
            <w:spacing w:after="140" w:line="300" w:lineRule="atLeast"/>
            <w:contextualSpacing w:val="0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The</w:t>
          </w:r>
          <w:r w:rsidR="00CF1C4C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CIRS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will make it easier to navigate across the service system to access the right care in the right place at the right time.</w:t>
          </w:r>
        </w:p>
        <w:bookmarkEnd w:id="3"/>
        <w:p w14:paraId="2CA8B833" w14:textId="77777777" w:rsidR="0018581A" w:rsidRDefault="008D7606" w:rsidP="009C5C12">
          <w:pPr>
            <w:spacing w:before="240" w:after="140" w:line="300" w:lineRule="atLeast"/>
            <w:ind w:left="-624"/>
            <w:rPr>
              <w:rFonts w:ascii="Arial" w:hAnsi="Arial" w:cs="Arial"/>
              <w:color w:val="000000" w:themeColor="text1"/>
              <w:sz w:val="22"/>
              <w:szCs w:val="22"/>
            </w:rPr>
            <w:sectPr w:rsidR="0018581A" w:rsidSect="00A168DE">
              <w:headerReference w:type="default" r:id="rId9"/>
              <w:footerReference w:type="default" r:id="rId10"/>
              <w:pgSz w:w="11906" w:h="16838"/>
              <w:pgMar w:top="1220" w:right="827" w:bottom="1440" w:left="1440" w:header="708" w:footer="708" w:gutter="0"/>
              <w:pgNumType w:start="2"/>
              <w:cols w:space="708"/>
              <w:docGrid w:linePitch="360"/>
            </w:sect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These initiatives align with the Tasmanian Government’s significant mental health reform program</w:t>
          </w:r>
          <w:r w:rsidR="002E29D6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which i</w:t>
          </w:r>
          <w:r w:rsidR="00124B02">
            <w:rPr>
              <w:rFonts w:ascii="Arial" w:hAnsi="Arial" w:cs="Arial"/>
              <w:color w:val="000000" w:themeColor="text1"/>
              <w:sz w:val="22"/>
              <w:szCs w:val="22"/>
            </w:rPr>
            <w:t>nclud</w:t>
          </w:r>
          <w:r w:rsidR="00A53251">
            <w:rPr>
              <w:rFonts w:ascii="Arial" w:hAnsi="Arial" w:cs="Arial"/>
              <w:color w:val="000000" w:themeColor="text1"/>
              <w:sz w:val="22"/>
              <w:szCs w:val="22"/>
            </w:rPr>
            <w:t>es</w:t>
          </w:r>
          <w:r w:rsidR="00124B02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reforms to</w:t>
          </w:r>
          <w:r w:rsidR="008D5817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improve and expand </w:t>
          </w:r>
          <w:r w:rsidR="00124B02">
            <w:rPr>
              <w:rFonts w:ascii="Arial" w:hAnsi="Arial" w:cs="Arial"/>
              <w:color w:val="000000" w:themeColor="text1"/>
              <w:sz w:val="22"/>
              <w:szCs w:val="22"/>
            </w:rPr>
            <w:t>mental health services</w:t>
          </w:r>
          <w:r w:rsidR="008D5817">
            <w:rPr>
              <w:rFonts w:ascii="Arial" w:hAnsi="Arial" w:cs="Arial"/>
              <w:color w:val="000000" w:themeColor="text1"/>
              <w:sz w:val="22"/>
              <w:szCs w:val="22"/>
            </w:rPr>
            <w:t>,</w:t>
          </w:r>
          <w:r w:rsidR="00124B02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prioritis</w:t>
          </w:r>
          <w:r w:rsidR="00AC2309">
            <w:rPr>
              <w:rFonts w:ascii="Arial" w:hAnsi="Arial" w:cs="Arial"/>
              <w:color w:val="000000" w:themeColor="text1"/>
              <w:sz w:val="22"/>
              <w:szCs w:val="22"/>
            </w:rPr>
            <w:t>e</w:t>
          </w:r>
          <w:r w:rsidR="00124B02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prevention</w:t>
          </w:r>
          <w:r w:rsidR="00AC2309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and</w:t>
          </w:r>
          <w:r w:rsidR="00124B02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early intervention and empowering Tasmanians to improve their own mental health and wellbeing</w:t>
          </w:r>
          <w:r w:rsidR="0058224E">
            <w:rPr>
              <w:rFonts w:ascii="Arial" w:hAnsi="Arial" w:cs="Arial"/>
              <w:color w:val="000000" w:themeColor="text1"/>
              <w:sz w:val="22"/>
              <w:szCs w:val="22"/>
            </w:rPr>
            <w:t>,</w:t>
          </w:r>
          <w:r w:rsidR="00124B02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and reform</w:t>
          </w:r>
          <w:r w:rsidR="0058224E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ing </w:t>
          </w:r>
          <w:r w:rsidR="00124B02">
            <w:rPr>
              <w:rFonts w:ascii="Arial" w:hAnsi="Arial" w:cs="Arial"/>
              <w:color w:val="000000" w:themeColor="text1"/>
              <w:sz w:val="22"/>
              <w:szCs w:val="22"/>
            </w:rPr>
            <w:t>C</w:t>
          </w:r>
          <w:r w:rsidR="007D105C">
            <w:rPr>
              <w:rFonts w:ascii="Arial" w:hAnsi="Arial" w:cs="Arial"/>
              <w:color w:val="000000" w:themeColor="text1"/>
              <w:sz w:val="22"/>
              <w:szCs w:val="22"/>
            </w:rPr>
            <w:t>AMHS.</w:t>
          </w:r>
        </w:p>
        <w:p w14:paraId="62CDAB41" w14:textId="6B4B7BC1" w:rsidR="00793E51" w:rsidRDefault="00D704F6" w:rsidP="00124B02">
          <w:pPr>
            <w:spacing w:after="140" w:line="300" w:lineRule="atLeast"/>
            <w:ind w:left="-624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lastRenderedPageBreak/>
            <w:t xml:space="preserve">The initiatives </w:t>
          </w:r>
          <w:r w:rsidR="00705699">
            <w:rPr>
              <w:rFonts w:ascii="Arial" w:hAnsi="Arial" w:cs="Arial"/>
              <w:color w:val="000000" w:themeColor="text1"/>
              <w:sz w:val="22"/>
              <w:szCs w:val="22"/>
            </w:rPr>
            <w:t>included</w:t>
          </w:r>
          <w:r w:rsidR="00FB42AD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in the bilateral agreement </w:t>
          </w:r>
          <w:r w:rsidR="0059257E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also align with </w:t>
          </w:r>
          <w:r w:rsidR="006D5B05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key </w:t>
          </w:r>
          <w:r w:rsidR="00C823BE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national </w:t>
          </w:r>
          <w:r w:rsidR="006D5B05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mental health reports and inquiries including recommendations from the Productivity Commission’s Inquiry into Mental Health </w:t>
          </w:r>
          <w:r w:rsidR="00DE784A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and the </w:t>
          </w:r>
          <w:r w:rsidR="00820E85">
            <w:rPr>
              <w:rFonts w:ascii="Arial" w:hAnsi="Arial" w:cs="Arial"/>
              <w:color w:val="000000" w:themeColor="text1"/>
              <w:sz w:val="22"/>
              <w:szCs w:val="22"/>
            </w:rPr>
            <w:t>final advice of the National Suicide Prevention Adviser</w:t>
          </w:r>
          <w:r w:rsidR="00DA1725">
            <w:rPr>
              <w:rFonts w:ascii="Arial" w:hAnsi="Arial" w:cs="Arial"/>
              <w:color w:val="000000" w:themeColor="text1"/>
              <w:sz w:val="22"/>
              <w:szCs w:val="22"/>
            </w:rPr>
            <w:t>.</w:t>
          </w:r>
        </w:p>
        <w:p w14:paraId="16262930" w14:textId="1E54E7F1" w:rsidR="00124B02" w:rsidRPr="00124B02" w:rsidRDefault="00A53251" w:rsidP="00BB01A1">
          <w:pPr>
            <w:spacing w:before="600" w:after="140" w:line="300" w:lineRule="atLeast"/>
            <w:ind w:left="-624"/>
            <w:rPr>
              <w:rFonts w:ascii="Arial" w:hAnsi="Arial" w:cs="Arial"/>
              <w:b/>
              <w:bCs/>
              <w:color w:val="005A96"/>
              <w:spacing w:val="-10"/>
              <w:sz w:val="30"/>
              <w:szCs w:val="30"/>
            </w:rPr>
          </w:pPr>
          <w:r>
            <w:rPr>
              <w:rFonts w:ascii="Arial" w:hAnsi="Arial" w:cs="Arial"/>
              <w:b/>
              <w:bCs/>
              <w:color w:val="005A96"/>
              <w:spacing w:val="-10"/>
              <w:sz w:val="30"/>
              <w:szCs w:val="30"/>
            </w:rPr>
            <w:t>Next steps</w:t>
          </w:r>
        </w:p>
        <w:p w14:paraId="5106E6AF" w14:textId="1EC7CFB0" w:rsidR="00124B02" w:rsidRDefault="00124B02" w:rsidP="00124B02">
          <w:pPr>
            <w:spacing w:after="140" w:line="300" w:lineRule="atLeast"/>
            <w:ind w:left="-624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The Tasmanian and Australian </w:t>
          </w:r>
          <w:r w:rsidR="002E29D6">
            <w:rPr>
              <w:rFonts w:ascii="Arial" w:hAnsi="Arial" w:cs="Arial"/>
              <w:color w:val="000000" w:themeColor="text1"/>
              <w:sz w:val="22"/>
              <w:szCs w:val="22"/>
            </w:rPr>
            <w:t>G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overnments will work together to develop a joint implementation plan and to progress current and future mental health and suicide prevention initiatives.</w:t>
          </w:r>
        </w:p>
        <w:p w14:paraId="5D46D7BE" w14:textId="64D2424F" w:rsidR="00BB4A82" w:rsidRDefault="00124B02" w:rsidP="00BB4A82">
          <w:pPr>
            <w:spacing w:after="140" w:line="300" w:lineRule="atLeast"/>
            <w:ind w:left="-624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The agreement will also strengthen partnership</w:t>
          </w:r>
          <w:r w:rsidR="007D105C">
            <w:rPr>
              <w:rFonts w:ascii="Arial" w:hAnsi="Arial" w:cs="Arial"/>
              <w:color w:val="000000" w:themeColor="text1"/>
              <w:sz w:val="22"/>
              <w:szCs w:val="22"/>
            </w:rPr>
            <w:t>s with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service delivery through increased data sharing, evaluation of services, closer integration of referral pathways and ongoing work in regional planning and commissioning of services.</w:t>
          </w:r>
          <w:r w:rsidR="00BB4A82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</w:p>
        <w:p w14:paraId="42B7A640" w14:textId="1BD1DE38" w:rsidR="00124B02" w:rsidRDefault="00A53251" w:rsidP="00BB4A82">
          <w:pPr>
            <w:spacing w:after="140" w:line="300" w:lineRule="atLeast"/>
            <w:ind w:left="-624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As a result, the agreement will assist in achieving our long-term goals to improve timely access to care and improved mental health outcomes for our community. </w:t>
          </w:r>
        </w:p>
        <w:p w14:paraId="3519FF5F" w14:textId="7146AE48" w:rsidR="002C2805" w:rsidRDefault="007D105C" w:rsidP="00124B02">
          <w:pPr>
            <w:spacing w:after="140" w:line="300" w:lineRule="atLeast"/>
            <w:ind w:left="-624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For</w:t>
          </w:r>
          <w:r w:rsidR="002C2805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further information, please visit the Department of Health, Tasmania website at </w:t>
          </w:r>
          <w:hyperlink r:id="rId11" w:history="1">
            <w:r w:rsidR="002C2805" w:rsidRPr="005F31FB">
              <w:rPr>
                <w:rStyle w:val="Hyperlink"/>
                <w:rFonts w:ascii="Arial" w:hAnsi="Arial" w:cs="Arial"/>
                <w:sz w:val="22"/>
                <w:szCs w:val="22"/>
              </w:rPr>
              <w:t>www.health.tas.gov.au</w:t>
            </w:r>
          </w:hyperlink>
          <w:r w:rsidR="002C2805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. </w:t>
          </w:r>
        </w:p>
        <w:p w14:paraId="11A063E0" w14:textId="77777777" w:rsidR="00574AF0" w:rsidRDefault="00A53251" w:rsidP="00124B02">
          <w:pPr>
            <w:spacing w:after="140" w:line="300" w:lineRule="atLeast"/>
            <w:ind w:left="-624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If you or someone you know is experiencing distress, seek advice and support from</w:t>
          </w:r>
          <w:r w:rsidR="00574AF0">
            <w:rPr>
              <w:rFonts w:ascii="Arial" w:hAnsi="Arial" w:cs="Arial"/>
              <w:color w:val="000000" w:themeColor="text1"/>
              <w:sz w:val="22"/>
              <w:szCs w:val="22"/>
            </w:rPr>
            <w:t>:</w:t>
          </w:r>
        </w:p>
        <w:p w14:paraId="46B7F60A" w14:textId="3F98FB57" w:rsidR="00574AF0" w:rsidRDefault="00574AF0" w:rsidP="00124B02">
          <w:pPr>
            <w:spacing w:after="140" w:line="300" w:lineRule="atLeast"/>
            <w:ind w:left="-624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A Tasmanian Lifeline</w:t>
          </w:r>
          <w:r w:rsidR="00E1626D">
            <w:rPr>
              <w:rFonts w:ascii="Arial" w:hAnsi="Arial" w:cs="Arial"/>
              <w:color w:val="000000" w:themeColor="text1"/>
              <w:sz w:val="22"/>
              <w:szCs w:val="22"/>
            </w:rPr>
            <w:tab/>
          </w:r>
          <w:r w:rsidR="00E1626D">
            <w:rPr>
              <w:rFonts w:ascii="Arial" w:hAnsi="Arial" w:cs="Arial"/>
              <w:color w:val="000000" w:themeColor="text1"/>
              <w:sz w:val="22"/>
              <w:szCs w:val="22"/>
            </w:rPr>
            <w:tab/>
          </w:r>
          <w:r w:rsidR="000D20F1">
            <w:rPr>
              <w:rFonts w:ascii="Arial" w:hAnsi="Arial" w:cs="Arial"/>
              <w:color w:val="000000" w:themeColor="text1"/>
              <w:sz w:val="22"/>
              <w:szCs w:val="22"/>
            </w:rPr>
            <w:t>1800</w:t>
          </w:r>
          <w:r w:rsidR="00E1626D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98 44 34</w:t>
          </w:r>
        </w:p>
        <w:p w14:paraId="254F785E" w14:textId="1E990B19" w:rsidR="00E1626D" w:rsidRDefault="000B45A8" w:rsidP="00124B02">
          <w:pPr>
            <w:spacing w:after="140" w:line="300" w:lineRule="atLeast"/>
            <w:ind w:left="-624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Beyond Blue</w:t>
          </w:r>
          <w:r w:rsidR="00E1626D">
            <w:rPr>
              <w:rFonts w:ascii="Arial" w:hAnsi="Arial" w:cs="Arial"/>
              <w:color w:val="000000" w:themeColor="text1"/>
              <w:sz w:val="22"/>
              <w:szCs w:val="22"/>
            </w:rPr>
            <w:tab/>
          </w:r>
          <w:r w:rsidR="00E1626D">
            <w:rPr>
              <w:rFonts w:ascii="Arial" w:hAnsi="Arial" w:cs="Arial"/>
              <w:color w:val="000000" w:themeColor="text1"/>
              <w:sz w:val="22"/>
              <w:szCs w:val="22"/>
            </w:rPr>
            <w:tab/>
          </w:r>
          <w:r w:rsidR="00E1626D">
            <w:rPr>
              <w:rFonts w:ascii="Arial" w:hAnsi="Arial" w:cs="Arial"/>
              <w:color w:val="000000" w:themeColor="text1"/>
              <w:sz w:val="22"/>
              <w:szCs w:val="22"/>
            </w:rPr>
            <w:tab/>
          </w:r>
          <w:r w:rsidR="00CF48B8">
            <w:rPr>
              <w:rFonts w:ascii="Arial" w:hAnsi="Arial" w:cs="Arial"/>
              <w:color w:val="000000" w:themeColor="text1"/>
              <w:sz w:val="22"/>
              <w:szCs w:val="22"/>
            </w:rPr>
            <w:t>1300 22 4636</w:t>
          </w:r>
        </w:p>
        <w:p w14:paraId="2B8A23E9" w14:textId="48AE4C94" w:rsidR="00574AF0" w:rsidRDefault="00A53251" w:rsidP="00124B02">
          <w:pPr>
            <w:spacing w:after="140" w:line="300" w:lineRule="atLeast"/>
            <w:ind w:left="-624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Kids Helpline</w:t>
          </w:r>
          <w:r w:rsidR="00E1626D">
            <w:rPr>
              <w:rFonts w:ascii="Arial" w:hAnsi="Arial" w:cs="Arial"/>
              <w:color w:val="000000" w:themeColor="text1"/>
              <w:sz w:val="22"/>
              <w:szCs w:val="22"/>
            </w:rPr>
            <w:tab/>
          </w:r>
          <w:r w:rsidR="00E1626D">
            <w:rPr>
              <w:rFonts w:ascii="Arial" w:hAnsi="Arial" w:cs="Arial"/>
              <w:color w:val="000000" w:themeColor="text1"/>
              <w:sz w:val="22"/>
              <w:szCs w:val="22"/>
            </w:rPr>
            <w:tab/>
          </w:r>
          <w:r w:rsidR="00E1626D">
            <w:rPr>
              <w:rFonts w:ascii="Arial" w:hAnsi="Arial" w:cs="Arial"/>
              <w:color w:val="000000" w:themeColor="text1"/>
              <w:sz w:val="22"/>
              <w:szCs w:val="22"/>
            </w:rPr>
            <w:tab/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1800</w:t>
          </w:r>
          <w:r w:rsidR="00E1626D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55</w:t>
          </w:r>
          <w:r w:rsidR="00E1626D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1800</w:t>
          </w:r>
        </w:p>
        <w:p w14:paraId="5386BD9F" w14:textId="1B8CF21D" w:rsidR="00A53251" w:rsidRDefault="00ED6053" w:rsidP="00124B02">
          <w:pPr>
            <w:spacing w:after="140" w:line="300" w:lineRule="atLeast"/>
            <w:ind w:left="-624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Suicide Call Back Service</w:t>
          </w:r>
          <w:r w:rsidR="00277FE1">
            <w:rPr>
              <w:rFonts w:ascii="Arial" w:hAnsi="Arial" w:cs="Arial"/>
              <w:color w:val="000000" w:themeColor="text1"/>
              <w:sz w:val="22"/>
              <w:szCs w:val="22"/>
            </w:rPr>
            <w:tab/>
          </w:r>
          <w:r w:rsidR="00574AF0">
            <w:rPr>
              <w:rFonts w:ascii="Arial" w:hAnsi="Arial" w:cs="Arial"/>
              <w:color w:val="000000" w:themeColor="text1"/>
              <w:sz w:val="22"/>
              <w:szCs w:val="22"/>
            </w:rPr>
            <w:t>1300 659 467</w:t>
          </w:r>
        </w:p>
        <w:p w14:paraId="09481C8A" w14:textId="77777777" w:rsidR="00277FE1" w:rsidRDefault="00277FE1" w:rsidP="00277FE1">
          <w:pPr>
            <w:spacing w:after="140" w:line="300" w:lineRule="atLeast"/>
            <w:ind w:left="-624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Lifeline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ab/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ab/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ab/>
            <w:t>13 11 14</w:t>
          </w:r>
        </w:p>
        <w:p w14:paraId="71B35EC8" w14:textId="1DB39779" w:rsidR="00277FE1" w:rsidRDefault="00277FE1" w:rsidP="00124B02">
          <w:pPr>
            <w:spacing w:after="140" w:line="300" w:lineRule="atLeast"/>
            <w:ind w:left="-624"/>
            <w:rPr>
              <w:rFonts w:ascii="Arial" w:hAnsi="Arial" w:cs="Arial"/>
              <w:color w:val="000000" w:themeColor="text1"/>
              <w:sz w:val="22"/>
              <w:szCs w:val="22"/>
            </w:rPr>
          </w:pPr>
          <w:proofErr w:type="spellStart"/>
          <w:r>
            <w:rPr>
              <w:rFonts w:ascii="Arial" w:hAnsi="Arial" w:cs="Arial"/>
              <w:color w:val="000000" w:themeColor="text1"/>
              <w:sz w:val="22"/>
              <w:szCs w:val="22"/>
            </w:rPr>
            <w:t>MensLine</w:t>
          </w:r>
          <w:proofErr w:type="spellEnd"/>
          <w:r w:rsidR="00342376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Australia</w:t>
          </w:r>
          <w:r w:rsidR="00342376">
            <w:rPr>
              <w:rFonts w:ascii="Arial" w:hAnsi="Arial" w:cs="Arial"/>
              <w:color w:val="000000" w:themeColor="text1"/>
              <w:sz w:val="22"/>
              <w:szCs w:val="22"/>
            </w:rPr>
            <w:tab/>
          </w:r>
          <w:r w:rsidR="00342376">
            <w:rPr>
              <w:rFonts w:ascii="Arial" w:hAnsi="Arial" w:cs="Arial"/>
              <w:color w:val="000000" w:themeColor="text1"/>
              <w:sz w:val="22"/>
              <w:szCs w:val="22"/>
            </w:rPr>
            <w:tab/>
          </w:r>
          <w:r w:rsidR="00FD46A1">
            <w:rPr>
              <w:rFonts w:ascii="Arial" w:hAnsi="Arial" w:cs="Arial"/>
              <w:color w:val="000000" w:themeColor="text1"/>
              <w:sz w:val="22"/>
              <w:szCs w:val="22"/>
            </w:rPr>
            <w:t>1300 78 99 78</w:t>
          </w:r>
        </w:p>
        <w:p w14:paraId="27429676" w14:textId="4092FF97" w:rsidR="00746535" w:rsidRDefault="00746535" w:rsidP="00BE5182">
          <w:pPr>
            <w:spacing w:after="140" w:line="300" w:lineRule="atLeast"/>
            <w:ind w:left="-624"/>
            <w:rPr>
              <w:rFonts w:ascii="Arial" w:hAnsi="Arial" w:cs="Arial"/>
              <w:color w:val="000000" w:themeColor="text1"/>
            </w:rPr>
          </w:pPr>
        </w:p>
        <w:p w14:paraId="7F061E06" w14:textId="54142773" w:rsidR="00746535" w:rsidRDefault="00746535" w:rsidP="00A53251">
          <w:pPr>
            <w:spacing w:after="140" w:line="300" w:lineRule="atLeast"/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color w:val="000000" w:themeColor="text1"/>
            </w:rPr>
            <w:br w:type="page"/>
          </w:r>
        </w:p>
        <w:p w14:paraId="7897748A" w14:textId="77777777" w:rsidR="00EE215B" w:rsidRDefault="00EE215B" w:rsidP="00BE5182">
          <w:pPr>
            <w:spacing w:after="140" w:line="300" w:lineRule="atLeast"/>
            <w:ind w:left="-624"/>
            <w:rPr>
              <w:rFonts w:ascii="Arial" w:hAnsi="Arial" w:cs="Arial"/>
              <w:color w:val="000000" w:themeColor="text1"/>
            </w:rPr>
            <w:sectPr w:rsidR="00EE215B" w:rsidSect="00A168DE">
              <w:footerReference w:type="default" r:id="rId12"/>
              <w:pgSz w:w="11906" w:h="16838"/>
              <w:pgMar w:top="1220" w:right="827" w:bottom="1440" w:left="1440" w:header="708" w:footer="708" w:gutter="0"/>
              <w:pgNumType w:start="2"/>
              <w:cols w:space="708"/>
              <w:docGrid w:linePitch="360"/>
            </w:sectPr>
          </w:pPr>
        </w:p>
        <w:p w14:paraId="76CB0C72" w14:textId="28A7AFAB" w:rsidR="000F5298" w:rsidRDefault="0082211E" w:rsidP="000F5298">
          <w:pPr>
            <w:ind w:left="-624"/>
            <w:rPr>
              <w:rFonts w:ascii="Arial" w:hAnsi="Arial" w:cs="Arial"/>
              <w:color w:val="005A96"/>
            </w:rPr>
          </w:pPr>
        </w:p>
      </w:sdtContent>
    </w:sdt>
    <w:p w14:paraId="4AEC4CF9" w14:textId="761DC3D2" w:rsidR="000F5298" w:rsidRPr="00EE215B" w:rsidRDefault="000F5298" w:rsidP="000F5298">
      <w:pPr>
        <w:ind w:left="-624"/>
        <w:rPr>
          <w:rFonts w:ascii="Arial" w:hAnsi="Arial" w:cs="Arial"/>
          <w:color w:val="005A96"/>
        </w:rPr>
      </w:pPr>
      <w:r>
        <w:rPr>
          <w:rFonts w:ascii="Arial" w:hAnsi="Arial" w:cs="Arial"/>
          <w:color w:val="005A96"/>
          <w:sz w:val="21"/>
          <w:szCs w:val="21"/>
        </w:rPr>
        <w:t>De</w:t>
      </w:r>
      <w:r w:rsidRPr="009309CB">
        <w:rPr>
          <w:rFonts w:ascii="Arial" w:hAnsi="Arial" w:cs="Arial"/>
          <w:color w:val="005A96"/>
          <w:sz w:val="21"/>
          <w:szCs w:val="21"/>
        </w:rPr>
        <w:t xml:space="preserve">partment of </w:t>
      </w:r>
      <w:r w:rsidRPr="00A53251">
        <w:rPr>
          <w:rFonts w:ascii="Arial" w:hAnsi="Arial" w:cs="Arial"/>
          <w:color w:val="005A96"/>
          <w:sz w:val="21"/>
          <w:szCs w:val="21"/>
        </w:rPr>
        <w:t>Health</w:t>
      </w:r>
    </w:p>
    <w:p w14:paraId="2FE440BF" w14:textId="77777777" w:rsidR="000F5298" w:rsidRDefault="000F5298" w:rsidP="000F5298">
      <w:pPr>
        <w:ind w:left="-624"/>
        <w:rPr>
          <w:rFonts w:ascii="Arial" w:hAnsi="Arial" w:cs="Arial"/>
          <w:color w:val="005A96"/>
          <w:sz w:val="21"/>
          <w:szCs w:val="21"/>
        </w:rPr>
      </w:pPr>
      <w:r w:rsidRPr="009309CB">
        <w:rPr>
          <w:rFonts w:ascii="Arial" w:hAnsi="Arial" w:cs="Arial"/>
          <w:color w:val="005A96"/>
          <w:sz w:val="21"/>
          <w:szCs w:val="21"/>
        </w:rPr>
        <w:t>GPO Box 125</w:t>
      </w:r>
    </w:p>
    <w:p w14:paraId="431A2CF9" w14:textId="17986315" w:rsidR="009309CB" w:rsidRDefault="000F5298" w:rsidP="00A24ACF">
      <w:pPr>
        <w:ind w:left="-624"/>
        <w:rPr>
          <w:rFonts w:ascii="Arial" w:hAnsi="Arial" w:cs="Arial"/>
          <w:color w:val="005A96"/>
          <w:sz w:val="21"/>
          <w:szCs w:val="21"/>
        </w:rPr>
      </w:pPr>
      <w:r>
        <w:rPr>
          <w:rFonts w:ascii="Arial" w:hAnsi="Arial" w:cs="Arial"/>
          <w:color w:val="005A96"/>
          <w:sz w:val="21"/>
          <w:szCs w:val="21"/>
        </w:rPr>
        <w:t>Hobart TAS 7001</w:t>
      </w:r>
    </w:p>
    <w:p w14:paraId="004F2255" w14:textId="2DDF218E" w:rsidR="009309CB" w:rsidRDefault="009309CB" w:rsidP="006C60BA">
      <w:pPr>
        <w:spacing w:before="160"/>
        <w:ind w:left="-624"/>
        <w:rPr>
          <w:rFonts w:ascii="Arial" w:hAnsi="Arial" w:cs="Arial"/>
          <w:color w:val="005A96"/>
          <w:sz w:val="21"/>
          <w:szCs w:val="21"/>
        </w:rPr>
      </w:pPr>
      <w:r>
        <w:rPr>
          <w:rFonts w:ascii="Arial" w:hAnsi="Arial" w:cs="Arial"/>
          <w:color w:val="005A96"/>
          <w:sz w:val="21"/>
          <w:szCs w:val="21"/>
        </w:rPr>
        <w:t>1300 135 513</w:t>
      </w:r>
    </w:p>
    <w:p w14:paraId="53982CB6" w14:textId="524F713E" w:rsidR="009309CB" w:rsidRPr="009309CB" w:rsidRDefault="009309CB" w:rsidP="006C60BA">
      <w:pPr>
        <w:spacing w:before="160"/>
        <w:ind w:left="-624"/>
        <w:rPr>
          <w:rFonts w:ascii="Arial" w:hAnsi="Arial" w:cs="Arial"/>
          <w:color w:val="005A96"/>
          <w:sz w:val="21"/>
          <w:szCs w:val="21"/>
        </w:rPr>
      </w:pPr>
      <w:r>
        <w:rPr>
          <w:rFonts w:ascii="Arial" w:hAnsi="Arial" w:cs="Arial"/>
          <w:color w:val="005A96"/>
          <w:sz w:val="21"/>
          <w:szCs w:val="21"/>
        </w:rPr>
        <w:t>www.health.tas.gov.au</w:t>
      </w:r>
    </w:p>
    <w:sectPr w:rsidR="009309CB" w:rsidRPr="009309CB" w:rsidSect="003F0602">
      <w:headerReference w:type="default" r:id="rId13"/>
      <w:footerReference w:type="default" r:id="rId14"/>
      <w:headerReference w:type="first" r:id="rId15"/>
      <w:pgSz w:w="11906" w:h="16838"/>
      <w:pgMar w:top="11771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5EE2" w14:textId="77777777" w:rsidR="0082211E" w:rsidRDefault="0082211E" w:rsidP="00610D3B">
      <w:r>
        <w:separator/>
      </w:r>
    </w:p>
  </w:endnote>
  <w:endnote w:type="continuationSeparator" w:id="0">
    <w:p w14:paraId="5CCEB8BD" w14:textId="77777777" w:rsidR="0082211E" w:rsidRDefault="0082211E" w:rsidP="0061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b/>
        <w:bCs/>
        <w:color w:val="005A96"/>
        <w:sz w:val="22"/>
        <w:szCs w:val="22"/>
      </w:rPr>
      <w:id w:val="6933452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5275B7" w14:textId="77777777" w:rsidR="009C5C12" w:rsidRDefault="009C5C12" w:rsidP="00853229">
        <w:pPr>
          <w:pStyle w:val="Footer"/>
          <w:framePr w:wrap="none" w:vAnchor="text" w:hAnchor="page" w:x="11033" w:y="256"/>
          <w:rPr>
            <w:rStyle w:val="PageNumber"/>
            <w:rFonts w:ascii="Arial" w:hAnsi="Arial" w:cs="Arial"/>
            <w:b/>
            <w:bCs/>
            <w:color w:val="005A96"/>
            <w:sz w:val="22"/>
            <w:szCs w:val="22"/>
          </w:rPr>
        </w:pPr>
      </w:p>
      <w:p w14:paraId="2E7AB410" w14:textId="77777777" w:rsidR="009C5C12" w:rsidRDefault="009C5C12" w:rsidP="00853229">
        <w:pPr>
          <w:pStyle w:val="Footer"/>
          <w:framePr w:wrap="none" w:vAnchor="text" w:hAnchor="page" w:x="11033" w:y="256"/>
          <w:rPr>
            <w:rStyle w:val="PageNumber"/>
            <w:rFonts w:ascii="Arial" w:hAnsi="Arial" w:cs="Arial"/>
            <w:b/>
            <w:bCs/>
            <w:color w:val="005A96"/>
            <w:sz w:val="22"/>
            <w:szCs w:val="22"/>
          </w:rPr>
        </w:pPr>
      </w:p>
      <w:p w14:paraId="345AA7B3" w14:textId="77777777" w:rsidR="009C5C12" w:rsidRDefault="009C5C12" w:rsidP="00853229">
        <w:pPr>
          <w:pStyle w:val="Footer"/>
          <w:framePr w:wrap="none" w:vAnchor="text" w:hAnchor="page" w:x="11033" w:y="256"/>
          <w:rPr>
            <w:rStyle w:val="PageNumber"/>
            <w:rFonts w:ascii="Arial" w:hAnsi="Arial" w:cs="Arial"/>
            <w:b/>
            <w:bCs/>
            <w:color w:val="005A96"/>
            <w:sz w:val="22"/>
            <w:szCs w:val="22"/>
          </w:rPr>
        </w:pPr>
      </w:p>
      <w:p w14:paraId="14E0485C" w14:textId="77777777" w:rsidR="009C5C12" w:rsidRDefault="009C5C12" w:rsidP="00853229">
        <w:pPr>
          <w:pStyle w:val="Footer"/>
          <w:framePr w:wrap="none" w:vAnchor="text" w:hAnchor="page" w:x="11033" w:y="256"/>
          <w:rPr>
            <w:rStyle w:val="PageNumber"/>
            <w:rFonts w:ascii="Arial" w:hAnsi="Arial" w:cs="Arial"/>
            <w:b/>
            <w:bCs/>
            <w:color w:val="005A96"/>
            <w:sz w:val="22"/>
            <w:szCs w:val="22"/>
          </w:rPr>
        </w:pPr>
      </w:p>
      <w:p w14:paraId="7B44AC16" w14:textId="77777777" w:rsidR="009C5C12" w:rsidRDefault="009C5C12" w:rsidP="00853229">
        <w:pPr>
          <w:pStyle w:val="Footer"/>
          <w:framePr w:wrap="none" w:vAnchor="text" w:hAnchor="page" w:x="11033" w:y="256"/>
          <w:rPr>
            <w:rStyle w:val="PageNumber"/>
            <w:rFonts w:ascii="Arial" w:hAnsi="Arial" w:cs="Arial"/>
            <w:b/>
            <w:bCs/>
            <w:color w:val="005A96"/>
            <w:sz w:val="22"/>
            <w:szCs w:val="22"/>
          </w:rPr>
        </w:pPr>
      </w:p>
      <w:p w14:paraId="66805878" w14:textId="77777777" w:rsidR="0018581A" w:rsidRDefault="0018581A" w:rsidP="00853229">
        <w:pPr>
          <w:pStyle w:val="Footer"/>
          <w:framePr w:wrap="none" w:vAnchor="text" w:hAnchor="page" w:x="11033" w:y="256"/>
          <w:rPr>
            <w:rStyle w:val="PageNumber"/>
            <w:rFonts w:ascii="Arial" w:hAnsi="Arial" w:cs="Arial"/>
            <w:b/>
            <w:bCs/>
            <w:color w:val="005A96"/>
            <w:sz w:val="22"/>
            <w:szCs w:val="22"/>
          </w:rPr>
        </w:pPr>
      </w:p>
      <w:p w14:paraId="2C79891D" w14:textId="07164714" w:rsidR="009C5C12" w:rsidRPr="00853229" w:rsidRDefault="006A19AE" w:rsidP="00853229">
        <w:pPr>
          <w:pStyle w:val="Footer"/>
          <w:framePr w:wrap="none" w:vAnchor="text" w:hAnchor="page" w:x="11033" w:y="256"/>
          <w:rPr>
            <w:rStyle w:val="PageNumber"/>
            <w:rFonts w:ascii="Arial" w:hAnsi="Arial" w:cs="Arial"/>
            <w:b/>
            <w:bCs/>
            <w:color w:val="005A96"/>
            <w:sz w:val="22"/>
            <w:szCs w:val="22"/>
          </w:rPr>
        </w:pPr>
        <w:r>
          <w:rPr>
            <w:rStyle w:val="PageNumber"/>
            <w:rFonts w:ascii="Arial" w:hAnsi="Arial" w:cs="Arial"/>
            <w:b/>
            <w:bCs/>
            <w:color w:val="005A96"/>
            <w:sz w:val="22"/>
            <w:szCs w:val="22"/>
          </w:rPr>
          <w:t>2</w:t>
        </w:r>
      </w:p>
    </w:sdtContent>
  </w:sdt>
  <w:p w14:paraId="4D8DF74C" w14:textId="11C49376" w:rsidR="009C5C12" w:rsidRDefault="009C5C12" w:rsidP="00853229">
    <w:pPr>
      <w:pStyle w:val="Footer"/>
      <w:ind w:right="360"/>
      <w:rPr>
        <w:rFonts w:ascii="Arial" w:hAnsi="Arial" w:cs="Arial"/>
        <w:sz w:val="22"/>
        <w:szCs w:val="22"/>
      </w:rPr>
    </w:pPr>
  </w:p>
  <w:p w14:paraId="5A550FAD" w14:textId="34E59B24" w:rsidR="009C5C12" w:rsidRDefault="009C5C12" w:rsidP="00853229">
    <w:pPr>
      <w:pStyle w:val="Footer"/>
      <w:ind w:right="360"/>
      <w:rPr>
        <w:rFonts w:ascii="Arial" w:hAnsi="Arial" w:cs="Arial"/>
        <w:sz w:val="22"/>
        <w:szCs w:val="22"/>
      </w:rPr>
    </w:pPr>
  </w:p>
  <w:p w14:paraId="0C473D5D" w14:textId="3EF14808" w:rsidR="009C5C12" w:rsidRDefault="009C5C12" w:rsidP="00853229">
    <w:pPr>
      <w:pStyle w:val="Footer"/>
      <w:ind w:right="360"/>
      <w:rPr>
        <w:rFonts w:ascii="Arial" w:hAnsi="Arial" w:cs="Arial"/>
        <w:sz w:val="22"/>
        <w:szCs w:val="22"/>
      </w:rPr>
    </w:pPr>
  </w:p>
  <w:p w14:paraId="2409C046" w14:textId="77777777" w:rsidR="009C5C12" w:rsidRDefault="009C5C12" w:rsidP="00853229">
    <w:pPr>
      <w:pStyle w:val="Footer"/>
      <w:ind w:right="360"/>
      <w:rPr>
        <w:rFonts w:ascii="Arial" w:hAnsi="Arial" w:cs="Arial"/>
        <w:sz w:val="22"/>
        <w:szCs w:val="22"/>
      </w:rPr>
    </w:pPr>
  </w:p>
  <w:p w14:paraId="25220CB5" w14:textId="77777777" w:rsidR="009C5C12" w:rsidRDefault="009C5C12" w:rsidP="00853229">
    <w:pPr>
      <w:pStyle w:val="Footer"/>
      <w:ind w:right="360"/>
      <w:rPr>
        <w:rFonts w:ascii="Arial" w:hAnsi="Arial" w:cs="Arial"/>
        <w:sz w:val="22"/>
        <w:szCs w:val="22"/>
      </w:rPr>
    </w:pPr>
  </w:p>
  <w:p w14:paraId="264E35FA" w14:textId="77777777" w:rsidR="009C5C12" w:rsidRDefault="009C5C12" w:rsidP="00853229">
    <w:pPr>
      <w:pStyle w:val="Footer"/>
      <w:ind w:right="360"/>
      <w:rPr>
        <w:rFonts w:ascii="Arial" w:hAnsi="Arial" w:cs="Arial"/>
        <w:sz w:val="22"/>
        <w:szCs w:val="22"/>
      </w:rPr>
    </w:pPr>
  </w:p>
  <w:p w14:paraId="21797078" w14:textId="77777777" w:rsidR="009C5C12" w:rsidRPr="00853229" w:rsidRDefault="009C5C12" w:rsidP="00853229">
    <w:pPr>
      <w:pStyle w:val="Footer"/>
      <w:ind w:right="360"/>
      <w:rPr>
        <w:rFonts w:ascii="Arial" w:hAnsi="Arial" w:cs="Arial"/>
        <w:sz w:val="22"/>
        <w:szCs w:val="22"/>
      </w:rPr>
    </w:pPr>
    <w:r w:rsidRPr="00853229">
      <w:rPr>
        <w:rFonts w:ascii="Arial" w:hAnsi="Arial" w:cs="Arial"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ADC6B5B" wp14:editId="050F7201">
              <wp:simplePos x="0" y="0"/>
              <wp:positionH relativeFrom="column">
                <wp:posOffset>-514350</wp:posOffset>
              </wp:positionH>
              <wp:positionV relativeFrom="paragraph">
                <wp:posOffset>-128269</wp:posOffset>
              </wp:positionV>
              <wp:extent cx="5868670" cy="381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867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103A26" w14:textId="77777777" w:rsidR="009C5C12" w:rsidRDefault="009C5C12" w:rsidP="00230185">
                          <w:pPr>
                            <w:jc w:val="right"/>
                            <w:rPr>
                              <w:rFonts w:ascii="Arial" w:hAnsi="Arial" w:cs="Arial"/>
                              <w:color w:val="005A9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A96"/>
                              <w:sz w:val="18"/>
                              <w:szCs w:val="18"/>
                            </w:rPr>
                            <w:t xml:space="preserve">Bilateral Agreement for Mental Health and Suicide Prevention Fact Sheet </w:t>
                          </w:r>
                          <w:r w:rsidRPr="00230185">
                            <w:rPr>
                              <w:rFonts w:ascii="Arial" w:hAnsi="Arial" w:cs="Arial"/>
                              <w:color w:val="005A96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40939600" w14:textId="77777777" w:rsidR="009C5C12" w:rsidRPr="00230185" w:rsidRDefault="009C5C12" w:rsidP="00230185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A96"/>
                              <w:sz w:val="18"/>
                              <w:szCs w:val="18"/>
                            </w:rPr>
                            <w:t>Mental Health, Alcohol and Drug Directorate</w:t>
                          </w:r>
                          <w:r w:rsidRPr="00230185">
                            <w:rPr>
                              <w:rFonts w:ascii="Arial" w:hAnsi="Arial" w:cs="Arial"/>
                              <w:color w:val="005A96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A96"/>
                              <w:sz w:val="18"/>
                              <w:szCs w:val="18"/>
                            </w:rPr>
                            <w:t>May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C6B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0.5pt;margin-top:-10.1pt;width:462.1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" filled="f" stroked="f" strokeweight=".5pt">
              <v:textbox inset="0,0,0,0">
                <w:txbxContent>
                  <w:p w14:paraId="23103A26" w14:textId="77777777" w:rsidR="009C5C12" w:rsidRDefault="009C5C12" w:rsidP="00230185">
                    <w:pPr>
                      <w:jc w:val="right"/>
                      <w:rPr>
                        <w:rFonts w:ascii="Arial" w:hAnsi="Arial" w:cs="Arial"/>
                        <w:color w:val="005A9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A96"/>
                        <w:sz w:val="18"/>
                        <w:szCs w:val="18"/>
                      </w:rPr>
                      <w:t xml:space="preserve">Bilateral Agreement for Mental Health and Suicide Prevention Fact Sheet </w:t>
                    </w:r>
                    <w:r w:rsidRPr="00230185">
                      <w:rPr>
                        <w:rFonts w:ascii="Arial" w:hAnsi="Arial" w:cs="Arial"/>
                        <w:color w:val="005A96"/>
                        <w:sz w:val="18"/>
                        <w:szCs w:val="18"/>
                      </w:rPr>
                      <w:t xml:space="preserve">  </w:t>
                    </w:r>
                  </w:p>
                  <w:p w14:paraId="40939600" w14:textId="77777777" w:rsidR="009C5C12" w:rsidRPr="00230185" w:rsidRDefault="009C5C12" w:rsidP="00230185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5A96"/>
                        <w:sz w:val="18"/>
                        <w:szCs w:val="18"/>
                      </w:rPr>
                      <w:t>Mental Health, Alcohol and Drug Directorate</w:t>
                    </w:r>
                    <w:r w:rsidRPr="00230185">
                      <w:rPr>
                        <w:rFonts w:ascii="Arial" w:hAnsi="Arial" w:cs="Arial"/>
                        <w:color w:val="005A96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b/>
                        <w:bCs/>
                        <w:color w:val="005A96"/>
                        <w:sz w:val="18"/>
                        <w:szCs w:val="18"/>
                      </w:rPr>
                      <w:t>May 2022</w:t>
                    </w:r>
                  </w:p>
                </w:txbxContent>
              </v:textbox>
            </v:shape>
          </w:pict>
        </mc:Fallback>
      </mc:AlternateContent>
    </w:r>
    <w:r w:rsidRPr="00853229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C955213" wp14:editId="477A8835">
              <wp:simplePos x="0" y="0"/>
              <wp:positionH relativeFrom="column">
                <wp:posOffset>0</wp:posOffset>
              </wp:positionH>
              <wp:positionV relativeFrom="paragraph">
                <wp:posOffset>1094740</wp:posOffset>
              </wp:positionV>
              <wp:extent cx="6927273" cy="1246909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7273" cy="12469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2AF393" w14:textId="77777777" w:rsidR="009C5C12" w:rsidRPr="00510DEC" w:rsidRDefault="009C5C12" w:rsidP="00841CC6">
                          <w:pPr>
                            <w:spacing w:line="276" w:lineRule="auto"/>
                            <w:rPr>
                              <w:rFonts w:ascii="Arial" w:hAnsi="Arial" w:cs="Arial"/>
                              <w:color w:val="243748"/>
                              <w:spacing w:val="-6"/>
                            </w:rPr>
                          </w:pPr>
                          <w:r w:rsidRPr="00610D3B">
                            <w:rPr>
                              <w:rFonts w:ascii="Arial" w:hAnsi="Arial" w:cs="Arial"/>
                              <w:b/>
                              <w:bCs/>
                              <w:color w:val="243748"/>
                              <w:spacing w:val="-6"/>
                              <w:sz w:val="72"/>
                              <w:szCs w:val="72"/>
                            </w:rPr>
                            <w:t>Heading goes here</w:t>
                          </w:r>
                          <w:r w:rsidRPr="00510DEC">
                            <w:rPr>
                              <w:rFonts w:ascii="Arial" w:hAnsi="Arial" w:cs="Arial"/>
                              <w:color w:val="243748"/>
                              <w:spacing w:val="-6"/>
                            </w:rPr>
                            <w:br/>
                          </w:r>
                          <w:r w:rsidRPr="00610D3B">
                            <w:rPr>
                              <w:rFonts w:ascii="Arial" w:hAnsi="Arial" w:cs="Arial"/>
                              <w:b/>
                              <w:bCs/>
                              <w:color w:val="243748"/>
                              <w:spacing w:val="-6"/>
                              <w:sz w:val="34"/>
                              <w:szCs w:val="34"/>
                            </w:rPr>
                            <w:t>Subheading follows on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955213" id="Text Box 7" o:spid="_x0000_s1027" type="#_x0000_t202" style="position:absolute;margin-left:0;margin-top:86.2pt;width:545.45pt;height:9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" filled="f" stroked="f" strokeweight=".5pt">
              <v:textbox>
                <w:txbxContent>
                  <w:p w14:paraId="6C2AF393" w14:textId="77777777" w:rsidR="009C5C12" w:rsidRPr="00510DEC" w:rsidRDefault="009C5C12" w:rsidP="00841CC6">
                    <w:pPr>
                      <w:spacing w:line="276" w:lineRule="auto"/>
                      <w:rPr>
                        <w:rFonts w:ascii="Arial" w:hAnsi="Arial" w:cs="Arial"/>
                        <w:color w:val="243748"/>
                        <w:spacing w:val="-6"/>
                      </w:rPr>
                    </w:pPr>
                    <w:r w:rsidRPr="00610D3B">
                      <w:rPr>
                        <w:rFonts w:ascii="Arial" w:hAnsi="Arial" w:cs="Arial"/>
                        <w:b/>
                        <w:bCs/>
                        <w:color w:val="243748"/>
                        <w:spacing w:val="-6"/>
                        <w:sz w:val="72"/>
                        <w:szCs w:val="72"/>
                      </w:rPr>
                      <w:t>Heading goes here</w:t>
                    </w:r>
                    <w:r w:rsidRPr="00510DEC">
                      <w:rPr>
                        <w:rFonts w:ascii="Arial" w:hAnsi="Arial" w:cs="Arial"/>
                        <w:color w:val="243748"/>
                        <w:spacing w:val="-6"/>
                      </w:rPr>
                      <w:br/>
                    </w:r>
                    <w:r w:rsidRPr="00610D3B">
                      <w:rPr>
                        <w:rFonts w:ascii="Arial" w:hAnsi="Arial" w:cs="Arial"/>
                        <w:b/>
                        <w:bCs/>
                        <w:color w:val="243748"/>
                        <w:spacing w:val="-6"/>
                        <w:sz w:val="34"/>
                        <w:szCs w:val="34"/>
                      </w:rPr>
                      <w:t>Subheading follows on here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b/>
        <w:bCs/>
        <w:color w:val="005A96"/>
        <w:sz w:val="22"/>
        <w:szCs w:val="22"/>
      </w:rPr>
      <w:id w:val="-17602835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4FAE0A" w14:textId="77777777" w:rsidR="0018581A" w:rsidRDefault="0018581A" w:rsidP="00853229">
        <w:pPr>
          <w:pStyle w:val="Footer"/>
          <w:framePr w:wrap="none" w:vAnchor="text" w:hAnchor="page" w:x="11033" w:y="256"/>
          <w:rPr>
            <w:rStyle w:val="PageNumber"/>
            <w:rFonts w:ascii="Arial" w:hAnsi="Arial" w:cs="Arial"/>
            <w:b/>
            <w:bCs/>
            <w:color w:val="005A96"/>
            <w:sz w:val="22"/>
            <w:szCs w:val="22"/>
          </w:rPr>
        </w:pPr>
      </w:p>
      <w:p w14:paraId="5CD462F7" w14:textId="77777777" w:rsidR="0018581A" w:rsidRDefault="0018581A" w:rsidP="00853229">
        <w:pPr>
          <w:pStyle w:val="Footer"/>
          <w:framePr w:wrap="none" w:vAnchor="text" w:hAnchor="page" w:x="11033" w:y="256"/>
          <w:rPr>
            <w:rStyle w:val="PageNumber"/>
            <w:rFonts w:ascii="Arial" w:hAnsi="Arial" w:cs="Arial"/>
            <w:b/>
            <w:bCs/>
            <w:color w:val="005A96"/>
            <w:sz w:val="22"/>
            <w:szCs w:val="22"/>
          </w:rPr>
        </w:pPr>
      </w:p>
      <w:p w14:paraId="5AE57372" w14:textId="77777777" w:rsidR="0018581A" w:rsidRDefault="0018581A" w:rsidP="00853229">
        <w:pPr>
          <w:pStyle w:val="Footer"/>
          <w:framePr w:wrap="none" w:vAnchor="text" w:hAnchor="page" w:x="11033" w:y="256"/>
          <w:rPr>
            <w:rStyle w:val="PageNumber"/>
            <w:rFonts w:ascii="Arial" w:hAnsi="Arial" w:cs="Arial"/>
            <w:b/>
            <w:bCs/>
            <w:color w:val="005A96"/>
            <w:sz w:val="22"/>
            <w:szCs w:val="22"/>
          </w:rPr>
        </w:pPr>
      </w:p>
      <w:p w14:paraId="2F8AD4D3" w14:textId="77777777" w:rsidR="0018581A" w:rsidRDefault="0018581A" w:rsidP="00853229">
        <w:pPr>
          <w:pStyle w:val="Footer"/>
          <w:framePr w:wrap="none" w:vAnchor="text" w:hAnchor="page" w:x="11033" w:y="256"/>
          <w:rPr>
            <w:rStyle w:val="PageNumber"/>
            <w:rFonts w:ascii="Arial" w:hAnsi="Arial" w:cs="Arial"/>
            <w:b/>
            <w:bCs/>
            <w:color w:val="005A96"/>
            <w:sz w:val="22"/>
            <w:szCs w:val="22"/>
          </w:rPr>
        </w:pPr>
      </w:p>
      <w:p w14:paraId="7C137884" w14:textId="77777777" w:rsidR="0018581A" w:rsidRDefault="0018581A" w:rsidP="00853229">
        <w:pPr>
          <w:pStyle w:val="Footer"/>
          <w:framePr w:wrap="none" w:vAnchor="text" w:hAnchor="page" w:x="11033" w:y="256"/>
          <w:rPr>
            <w:rStyle w:val="PageNumber"/>
            <w:rFonts w:ascii="Arial" w:hAnsi="Arial" w:cs="Arial"/>
            <w:b/>
            <w:bCs/>
            <w:color w:val="005A96"/>
            <w:sz w:val="22"/>
            <w:szCs w:val="22"/>
          </w:rPr>
        </w:pPr>
      </w:p>
      <w:p w14:paraId="717D1583" w14:textId="77777777" w:rsidR="0018581A" w:rsidRDefault="0018581A" w:rsidP="00853229">
        <w:pPr>
          <w:pStyle w:val="Footer"/>
          <w:framePr w:wrap="none" w:vAnchor="text" w:hAnchor="page" w:x="11033" w:y="256"/>
          <w:rPr>
            <w:rStyle w:val="PageNumber"/>
            <w:rFonts w:ascii="Arial" w:hAnsi="Arial" w:cs="Arial"/>
            <w:b/>
            <w:bCs/>
            <w:color w:val="005A96"/>
            <w:sz w:val="22"/>
            <w:szCs w:val="22"/>
          </w:rPr>
        </w:pPr>
      </w:p>
      <w:p w14:paraId="277865AD" w14:textId="40964F2B" w:rsidR="0018581A" w:rsidRPr="00853229" w:rsidRDefault="006A19AE" w:rsidP="00853229">
        <w:pPr>
          <w:pStyle w:val="Footer"/>
          <w:framePr w:wrap="none" w:vAnchor="text" w:hAnchor="page" w:x="11033" w:y="256"/>
          <w:rPr>
            <w:rStyle w:val="PageNumber"/>
            <w:rFonts w:ascii="Arial" w:hAnsi="Arial" w:cs="Arial"/>
            <w:b/>
            <w:bCs/>
            <w:color w:val="005A96"/>
            <w:sz w:val="22"/>
            <w:szCs w:val="22"/>
          </w:rPr>
        </w:pPr>
        <w:r>
          <w:rPr>
            <w:rStyle w:val="PageNumber"/>
            <w:rFonts w:ascii="Arial" w:hAnsi="Arial" w:cs="Arial"/>
            <w:b/>
            <w:bCs/>
            <w:color w:val="005A96"/>
            <w:sz w:val="22"/>
            <w:szCs w:val="22"/>
          </w:rPr>
          <w:t>3</w:t>
        </w:r>
      </w:p>
    </w:sdtContent>
  </w:sdt>
  <w:p w14:paraId="50E15F2F" w14:textId="77777777" w:rsidR="0018581A" w:rsidRDefault="0018581A" w:rsidP="00853229">
    <w:pPr>
      <w:pStyle w:val="Footer"/>
      <w:ind w:right="360"/>
      <w:rPr>
        <w:rFonts w:ascii="Arial" w:hAnsi="Arial" w:cs="Arial"/>
        <w:sz w:val="22"/>
        <w:szCs w:val="22"/>
      </w:rPr>
    </w:pPr>
  </w:p>
  <w:p w14:paraId="710D76E5" w14:textId="77777777" w:rsidR="0018581A" w:rsidRDefault="0018581A" w:rsidP="00853229">
    <w:pPr>
      <w:pStyle w:val="Footer"/>
      <w:ind w:right="360"/>
      <w:rPr>
        <w:rFonts w:ascii="Arial" w:hAnsi="Arial" w:cs="Arial"/>
        <w:sz w:val="22"/>
        <w:szCs w:val="22"/>
      </w:rPr>
    </w:pPr>
  </w:p>
  <w:p w14:paraId="2C9733D1" w14:textId="77777777" w:rsidR="0018581A" w:rsidRDefault="0018581A" w:rsidP="00853229">
    <w:pPr>
      <w:pStyle w:val="Footer"/>
      <w:ind w:right="360"/>
      <w:rPr>
        <w:rFonts w:ascii="Arial" w:hAnsi="Arial" w:cs="Arial"/>
        <w:sz w:val="22"/>
        <w:szCs w:val="22"/>
      </w:rPr>
    </w:pPr>
  </w:p>
  <w:p w14:paraId="3FAB9FE2" w14:textId="77777777" w:rsidR="0018581A" w:rsidRDefault="0018581A" w:rsidP="00853229">
    <w:pPr>
      <w:pStyle w:val="Footer"/>
      <w:ind w:right="360"/>
      <w:rPr>
        <w:rFonts w:ascii="Arial" w:hAnsi="Arial" w:cs="Arial"/>
        <w:sz w:val="22"/>
        <w:szCs w:val="22"/>
      </w:rPr>
    </w:pPr>
  </w:p>
  <w:p w14:paraId="36217B77" w14:textId="77777777" w:rsidR="0018581A" w:rsidRDefault="0018581A" w:rsidP="00853229">
    <w:pPr>
      <w:pStyle w:val="Footer"/>
      <w:ind w:right="360"/>
      <w:rPr>
        <w:rFonts w:ascii="Arial" w:hAnsi="Arial" w:cs="Arial"/>
        <w:sz w:val="22"/>
        <w:szCs w:val="22"/>
      </w:rPr>
    </w:pPr>
  </w:p>
  <w:p w14:paraId="3D8A6051" w14:textId="77777777" w:rsidR="0018581A" w:rsidRDefault="0018581A" w:rsidP="00853229">
    <w:pPr>
      <w:pStyle w:val="Footer"/>
      <w:ind w:right="360"/>
      <w:rPr>
        <w:rFonts w:ascii="Arial" w:hAnsi="Arial" w:cs="Arial"/>
        <w:sz w:val="22"/>
        <w:szCs w:val="22"/>
      </w:rPr>
    </w:pPr>
  </w:p>
  <w:p w14:paraId="009DE656" w14:textId="77777777" w:rsidR="0018581A" w:rsidRPr="00853229" w:rsidRDefault="0018581A" w:rsidP="00853229">
    <w:pPr>
      <w:pStyle w:val="Footer"/>
      <w:ind w:right="360"/>
      <w:rPr>
        <w:rFonts w:ascii="Arial" w:hAnsi="Arial" w:cs="Arial"/>
        <w:sz w:val="22"/>
        <w:szCs w:val="22"/>
      </w:rPr>
    </w:pPr>
    <w:r w:rsidRPr="00853229">
      <w:rPr>
        <w:rFonts w:ascii="Arial" w:hAnsi="Arial" w:cs="Arial"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49A1BBA" wp14:editId="67268809">
              <wp:simplePos x="0" y="0"/>
              <wp:positionH relativeFrom="column">
                <wp:posOffset>-514350</wp:posOffset>
              </wp:positionH>
              <wp:positionV relativeFrom="paragraph">
                <wp:posOffset>-128269</wp:posOffset>
              </wp:positionV>
              <wp:extent cx="5868670" cy="381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867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D30A14" w14:textId="77777777" w:rsidR="0018581A" w:rsidRDefault="0018581A" w:rsidP="00230185">
                          <w:pPr>
                            <w:jc w:val="right"/>
                            <w:rPr>
                              <w:rFonts w:ascii="Arial" w:hAnsi="Arial" w:cs="Arial"/>
                              <w:color w:val="005A9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A96"/>
                              <w:sz w:val="18"/>
                              <w:szCs w:val="18"/>
                            </w:rPr>
                            <w:t xml:space="preserve">Bilateral Agreement for Mental Health and Suicide Prevention Fact Sheet </w:t>
                          </w:r>
                          <w:r w:rsidRPr="00230185">
                            <w:rPr>
                              <w:rFonts w:ascii="Arial" w:hAnsi="Arial" w:cs="Arial"/>
                              <w:color w:val="005A96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4836855F" w14:textId="77777777" w:rsidR="0018581A" w:rsidRPr="00230185" w:rsidRDefault="0018581A" w:rsidP="00230185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A96"/>
                              <w:sz w:val="18"/>
                              <w:szCs w:val="18"/>
                            </w:rPr>
                            <w:t>Mental Health, Alcohol and Drug Directorate</w:t>
                          </w:r>
                          <w:r w:rsidRPr="00230185">
                            <w:rPr>
                              <w:rFonts w:ascii="Arial" w:hAnsi="Arial" w:cs="Arial"/>
                              <w:color w:val="005A96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A96"/>
                              <w:sz w:val="18"/>
                              <w:szCs w:val="18"/>
                            </w:rPr>
                            <w:t>May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A1B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0.5pt;margin-top:-10.1pt;width:462.1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" filled="f" stroked="f" strokeweight=".5pt">
              <v:textbox inset="0,0,0,0">
                <w:txbxContent>
                  <w:p w14:paraId="71D30A14" w14:textId="77777777" w:rsidR="0018581A" w:rsidRDefault="0018581A" w:rsidP="00230185">
                    <w:pPr>
                      <w:jc w:val="right"/>
                      <w:rPr>
                        <w:rFonts w:ascii="Arial" w:hAnsi="Arial" w:cs="Arial"/>
                        <w:color w:val="005A9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A96"/>
                        <w:sz w:val="18"/>
                        <w:szCs w:val="18"/>
                      </w:rPr>
                      <w:t xml:space="preserve">Bilateral Agreement for Mental Health and Suicide Prevention Fact Sheet </w:t>
                    </w:r>
                    <w:r w:rsidRPr="00230185">
                      <w:rPr>
                        <w:rFonts w:ascii="Arial" w:hAnsi="Arial" w:cs="Arial"/>
                        <w:color w:val="005A96"/>
                        <w:sz w:val="18"/>
                        <w:szCs w:val="18"/>
                      </w:rPr>
                      <w:t xml:space="preserve">  </w:t>
                    </w:r>
                  </w:p>
                  <w:p w14:paraId="4836855F" w14:textId="77777777" w:rsidR="0018581A" w:rsidRPr="00230185" w:rsidRDefault="0018581A" w:rsidP="00230185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5A96"/>
                        <w:sz w:val="18"/>
                        <w:szCs w:val="18"/>
                      </w:rPr>
                      <w:t>Mental Health, Alcohol and Drug Directorate</w:t>
                    </w:r>
                    <w:r w:rsidRPr="00230185">
                      <w:rPr>
                        <w:rFonts w:ascii="Arial" w:hAnsi="Arial" w:cs="Arial"/>
                        <w:color w:val="005A96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b/>
                        <w:bCs/>
                        <w:color w:val="005A96"/>
                        <w:sz w:val="18"/>
                        <w:szCs w:val="18"/>
                      </w:rPr>
                      <w:t>May 2022</w:t>
                    </w:r>
                  </w:p>
                </w:txbxContent>
              </v:textbox>
            </v:shape>
          </w:pict>
        </mc:Fallback>
      </mc:AlternateContent>
    </w:r>
    <w:r w:rsidRPr="00853229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C3DA1ED" wp14:editId="7379E712">
              <wp:simplePos x="0" y="0"/>
              <wp:positionH relativeFrom="column">
                <wp:posOffset>0</wp:posOffset>
              </wp:positionH>
              <wp:positionV relativeFrom="paragraph">
                <wp:posOffset>1094740</wp:posOffset>
              </wp:positionV>
              <wp:extent cx="6927273" cy="124690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7273" cy="12469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51CF19" w14:textId="77777777" w:rsidR="0018581A" w:rsidRPr="00510DEC" w:rsidRDefault="0018581A" w:rsidP="00841CC6">
                          <w:pPr>
                            <w:spacing w:line="276" w:lineRule="auto"/>
                            <w:rPr>
                              <w:rFonts w:ascii="Arial" w:hAnsi="Arial" w:cs="Arial"/>
                              <w:color w:val="243748"/>
                              <w:spacing w:val="-6"/>
                            </w:rPr>
                          </w:pPr>
                          <w:r w:rsidRPr="00610D3B">
                            <w:rPr>
                              <w:rFonts w:ascii="Arial" w:hAnsi="Arial" w:cs="Arial"/>
                              <w:b/>
                              <w:bCs/>
                              <w:color w:val="243748"/>
                              <w:spacing w:val="-6"/>
                              <w:sz w:val="72"/>
                              <w:szCs w:val="72"/>
                            </w:rPr>
                            <w:t>Heading goes here</w:t>
                          </w:r>
                          <w:r w:rsidRPr="00510DEC">
                            <w:rPr>
                              <w:rFonts w:ascii="Arial" w:hAnsi="Arial" w:cs="Arial"/>
                              <w:color w:val="243748"/>
                              <w:spacing w:val="-6"/>
                            </w:rPr>
                            <w:br/>
                          </w:r>
                          <w:r w:rsidRPr="00610D3B">
                            <w:rPr>
                              <w:rFonts w:ascii="Arial" w:hAnsi="Arial" w:cs="Arial"/>
                              <w:b/>
                              <w:bCs/>
                              <w:color w:val="243748"/>
                              <w:spacing w:val="-6"/>
                              <w:sz w:val="34"/>
                              <w:szCs w:val="34"/>
                            </w:rPr>
                            <w:t>Subheading follows on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3DA1ED" id="Text Box 4" o:spid="_x0000_s1029" type="#_x0000_t202" style="position:absolute;margin-left:0;margin-top:86.2pt;width:545.45pt;height:9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" filled="f" stroked="f" strokeweight=".5pt">
              <v:textbox>
                <w:txbxContent>
                  <w:p w14:paraId="2551CF19" w14:textId="77777777" w:rsidR="0018581A" w:rsidRPr="00510DEC" w:rsidRDefault="0018581A" w:rsidP="00841CC6">
                    <w:pPr>
                      <w:spacing w:line="276" w:lineRule="auto"/>
                      <w:rPr>
                        <w:rFonts w:ascii="Arial" w:hAnsi="Arial" w:cs="Arial"/>
                        <w:color w:val="243748"/>
                        <w:spacing w:val="-6"/>
                      </w:rPr>
                    </w:pPr>
                    <w:r w:rsidRPr="00610D3B">
                      <w:rPr>
                        <w:rFonts w:ascii="Arial" w:hAnsi="Arial" w:cs="Arial"/>
                        <w:b/>
                        <w:bCs/>
                        <w:color w:val="243748"/>
                        <w:spacing w:val="-6"/>
                        <w:sz w:val="72"/>
                        <w:szCs w:val="72"/>
                      </w:rPr>
                      <w:t>Heading goes here</w:t>
                    </w:r>
                    <w:r w:rsidRPr="00510DEC">
                      <w:rPr>
                        <w:rFonts w:ascii="Arial" w:hAnsi="Arial" w:cs="Arial"/>
                        <w:color w:val="243748"/>
                        <w:spacing w:val="-6"/>
                      </w:rPr>
                      <w:br/>
                    </w:r>
                    <w:r w:rsidRPr="00610D3B">
                      <w:rPr>
                        <w:rFonts w:ascii="Arial" w:hAnsi="Arial" w:cs="Arial"/>
                        <w:b/>
                        <w:bCs/>
                        <w:color w:val="243748"/>
                        <w:spacing w:val="-6"/>
                        <w:sz w:val="34"/>
                        <w:szCs w:val="34"/>
                      </w:rPr>
                      <w:t>Subheading follows on here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78F8" w14:textId="1467F786" w:rsidR="00610D3B" w:rsidRDefault="00841CC6">
    <w:pPr>
      <w:pStyle w:val="Footer"/>
    </w:pPr>
    <w:r w:rsidRPr="00841CC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0DAF2D" wp14:editId="2F0AFEC9">
              <wp:simplePos x="0" y="0"/>
              <wp:positionH relativeFrom="column">
                <wp:posOffset>0</wp:posOffset>
              </wp:positionH>
              <wp:positionV relativeFrom="paragraph">
                <wp:posOffset>1094740</wp:posOffset>
              </wp:positionV>
              <wp:extent cx="6927273" cy="124690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7273" cy="12469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495CB7" w14:textId="77777777" w:rsidR="00841CC6" w:rsidRPr="00510DEC" w:rsidRDefault="00841CC6" w:rsidP="00841CC6">
                          <w:pPr>
                            <w:spacing w:line="276" w:lineRule="auto"/>
                            <w:rPr>
                              <w:rFonts w:ascii="Arial" w:hAnsi="Arial" w:cs="Arial"/>
                              <w:color w:val="243748"/>
                              <w:spacing w:val="-6"/>
                            </w:rPr>
                          </w:pPr>
                          <w:r w:rsidRPr="00610D3B">
                            <w:rPr>
                              <w:rFonts w:ascii="Arial" w:hAnsi="Arial" w:cs="Arial"/>
                              <w:b/>
                              <w:bCs/>
                              <w:color w:val="243748"/>
                              <w:spacing w:val="-6"/>
                              <w:sz w:val="72"/>
                              <w:szCs w:val="72"/>
                            </w:rPr>
                            <w:t>Heading goes here</w:t>
                          </w:r>
                          <w:r w:rsidRPr="00510DEC">
                            <w:rPr>
                              <w:rFonts w:ascii="Arial" w:hAnsi="Arial" w:cs="Arial"/>
                              <w:color w:val="243748"/>
                              <w:spacing w:val="-6"/>
                            </w:rPr>
                            <w:br/>
                          </w:r>
                          <w:r w:rsidRPr="00610D3B">
                            <w:rPr>
                              <w:rFonts w:ascii="Arial" w:hAnsi="Arial" w:cs="Arial"/>
                              <w:b/>
                              <w:bCs/>
                              <w:color w:val="243748"/>
                              <w:spacing w:val="-6"/>
                              <w:sz w:val="34"/>
                              <w:szCs w:val="34"/>
                            </w:rPr>
                            <w:t>Subheading follows on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DAF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0;margin-top:86.2pt;width:545.45pt;height:9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" filled="f" stroked="f" strokeweight=".5pt">
              <v:textbox>
                <w:txbxContent>
                  <w:p w14:paraId="38495CB7" w14:textId="77777777" w:rsidR="00841CC6" w:rsidRPr="00510DEC" w:rsidRDefault="00841CC6" w:rsidP="00841CC6">
                    <w:pPr>
                      <w:spacing w:line="276" w:lineRule="auto"/>
                      <w:rPr>
                        <w:rFonts w:ascii="Arial" w:hAnsi="Arial" w:cs="Arial"/>
                        <w:color w:val="243748"/>
                        <w:spacing w:val="-6"/>
                      </w:rPr>
                    </w:pPr>
                    <w:r w:rsidRPr="00610D3B">
                      <w:rPr>
                        <w:rFonts w:ascii="Arial" w:hAnsi="Arial" w:cs="Arial"/>
                        <w:b/>
                        <w:bCs/>
                        <w:color w:val="243748"/>
                        <w:spacing w:val="-6"/>
                        <w:sz w:val="72"/>
                        <w:szCs w:val="72"/>
                      </w:rPr>
                      <w:t>Heading goes here</w:t>
                    </w:r>
                    <w:r w:rsidRPr="00510DEC">
                      <w:rPr>
                        <w:rFonts w:ascii="Arial" w:hAnsi="Arial" w:cs="Arial"/>
                        <w:color w:val="243748"/>
                        <w:spacing w:val="-6"/>
                      </w:rPr>
                      <w:br/>
                    </w:r>
                    <w:r w:rsidRPr="00610D3B">
                      <w:rPr>
                        <w:rFonts w:ascii="Arial" w:hAnsi="Arial" w:cs="Arial"/>
                        <w:b/>
                        <w:bCs/>
                        <w:color w:val="243748"/>
                        <w:spacing w:val="-6"/>
                        <w:sz w:val="34"/>
                        <w:szCs w:val="34"/>
                      </w:rPr>
                      <w:t>Subheading follows on here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A433" w14:textId="77777777" w:rsidR="0082211E" w:rsidRDefault="0082211E" w:rsidP="00610D3B">
      <w:r>
        <w:separator/>
      </w:r>
    </w:p>
  </w:footnote>
  <w:footnote w:type="continuationSeparator" w:id="0">
    <w:p w14:paraId="33638BB0" w14:textId="77777777" w:rsidR="0082211E" w:rsidRDefault="0082211E" w:rsidP="0061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D7AE" w14:textId="496540BC" w:rsidR="0018581A" w:rsidRDefault="0018581A">
    <w:pPr>
      <w:pStyle w:val="Header"/>
    </w:pPr>
    <w:r>
      <w:rPr>
        <w:noProof/>
      </w:rPr>
      <w:drawing>
        <wp:anchor distT="0" distB="0" distL="114300" distR="114300" simplePos="0" relativeHeight="251689984" behindDoc="1" locked="0" layoutInCell="1" allowOverlap="1" wp14:anchorId="606A015E" wp14:editId="537B9BC6">
          <wp:simplePos x="0" y="0"/>
          <wp:positionH relativeFrom="column">
            <wp:posOffset>-941392</wp:posOffset>
          </wp:positionH>
          <wp:positionV relativeFrom="paragraph">
            <wp:posOffset>-454025</wp:posOffset>
          </wp:positionV>
          <wp:extent cx="7561979" cy="1068844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79" cy="1068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1F9E" w14:textId="3FC6B834" w:rsidR="00610D3B" w:rsidRDefault="00841CC6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5768601" wp14:editId="2EC7126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999" cy="10685647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84B9" w14:textId="36449768" w:rsidR="00841CC6" w:rsidRDefault="00841CC6" w:rsidP="002D06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86AAF" wp14:editId="00714681">
          <wp:simplePos x="0" y="0"/>
          <wp:positionH relativeFrom="column">
            <wp:posOffset>-923290</wp:posOffset>
          </wp:positionH>
          <wp:positionV relativeFrom="paragraph">
            <wp:posOffset>10366375</wp:posOffset>
          </wp:positionV>
          <wp:extent cx="7574280" cy="10705465"/>
          <wp:effectExtent l="0" t="0" r="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70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93B"/>
    <w:multiLevelType w:val="hybridMultilevel"/>
    <w:tmpl w:val="B714332E"/>
    <w:lvl w:ilvl="0" w:tplc="912A6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25896"/>
    <w:multiLevelType w:val="hybridMultilevel"/>
    <w:tmpl w:val="FE90A650"/>
    <w:lvl w:ilvl="0" w:tplc="ED8EE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7176"/>
    <w:multiLevelType w:val="hybridMultilevel"/>
    <w:tmpl w:val="04F0AF4E"/>
    <w:lvl w:ilvl="0" w:tplc="0C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3" w15:restartNumberingAfterBreak="0">
    <w:nsid w:val="3482273E"/>
    <w:multiLevelType w:val="hybridMultilevel"/>
    <w:tmpl w:val="F90CC3A8"/>
    <w:lvl w:ilvl="0" w:tplc="912A6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01097C"/>
    <w:multiLevelType w:val="hybridMultilevel"/>
    <w:tmpl w:val="2D965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E13B2"/>
    <w:multiLevelType w:val="hybridMultilevel"/>
    <w:tmpl w:val="AE10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21F55"/>
    <w:multiLevelType w:val="hybridMultilevel"/>
    <w:tmpl w:val="A63A94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2B7FAC"/>
    <w:multiLevelType w:val="hybridMultilevel"/>
    <w:tmpl w:val="808A9C0C"/>
    <w:lvl w:ilvl="0" w:tplc="B9269A06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3B"/>
    <w:rsid w:val="00004EF6"/>
    <w:rsid w:val="00031678"/>
    <w:rsid w:val="000505EE"/>
    <w:rsid w:val="00087080"/>
    <w:rsid w:val="00090812"/>
    <w:rsid w:val="000A5E6D"/>
    <w:rsid w:val="000B45A8"/>
    <w:rsid w:val="000C3DB4"/>
    <w:rsid w:val="000D20F1"/>
    <w:rsid w:val="000D6A0D"/>
    <w:rsid w:val="000F5298"/>
    <w:rsid w:val="000F5BDF"/>
    <w:rsid w:val="000F6B83"/>
    <w:rsid w:val="000F7F88"/>
    <w:rsid w:val="001052A4"/>
    <w:rsid w:val="00111DF0"/>
    <w:rsid w:val="001213A6"/>
    <w:rsid w:val="00122737"/>
    <w:rsid w:val="00124B02"/>
    <w:rsid w:val="0012678E"/>
    <w:rsid w:val="00143219"/>
    <w:rsid w:val="00161E5D"/>
    <w:rsid w:val="0018581A"/>
    <w:rsid w:val="001905E9"/>
    <w:rsid w:val="001A46E6"/>
    <w:rsid w:val="001B3FBE"/>
    <w:rsid w:val="001D5066"/>
    <w:rsid w:val="001D6789"/>
    <w:rsid w:val="00203626"/>
    <w:rsid w:val="00207096"/>
    <w:rsid w:val="00230185"/>
    <w:rsid w:val="0025489D"/>
    <w:rsid w:val="00264300"/>
    <w:rsid w:val="00277FE1"/>
    <w:rsid w:val="002816BA"/>
    <w:rsid w:val="00292341"/>
    <w:rsid w:val="002A3E5C"/>
    <w:rsid w:val="002C2805"/>
    <w:rsid w:val="002D06E8"/>
    <w:rsid w:val="002E29D6"/>
    <w:rsid w:val="002F02C2"/>
    <w:rsid w:val="002F62EA"/>
    <w:rsid w:val="003136F8"/>
    <w:rsid w:val="00326C92"/>
    <w:rsid w:val="00334247"/>
    <w:rsid w:val="003343F1"/>
    <w:rsid w:val="00342376"/>
    <w:rsid w:val="00393F1E"/>
    <w:rsid w:val="003A5DC9"/>
    <w:rsid w:val="003D219C"/>
    <w:rsid w:val="003D629F"/>
    <w:rsid w:val="003E2DB9"/>
    <w:rsid w:val="003E3394"/>
    <w:rsid w:val="003E78D2"/>
    <w:rsid w:val="003F0602"/>
    <w:rsid w:val="00401649"/>
    <w:rsid w:val="004219B0"/>
    <w:rsid w:val="0043064E"/>
    <w:rsid w:val="00453ED8"/>
    <w:rsid w:val="004823DA"/>
    <w:rsid w:val="00493A1A"/>
    <w:rsid w:val="004B38CE"/>
    <w:rsid w:val="004E1A68"/>
    <w:rsid w:val="005173F0"/>
    <w:rsid w:val="00526B80"/>
    <w:rsid w:val="005509A7"/>
    <w:rsid w:val="005536AB"/>
    <w:rsid w:val="00571C9E"/>
    <w:rsid w:val="00574AF0"/>
    <w:rsid w:val="0058224E"/>
    <w:rsid w:val="005915A4"/>
    <w:rsid w:val="0059257E"/>
    <w:rsid w:val="005A5846"/>
    <w:rsid w:val="005A5AD3"/>
    <w:rsid w:val="005B018E"/>
    <w:rsid w:val="005B22E6"/>
    <w:rsid w:val="005C0F6B"/>
    <w:rsid w:val="005C22FD"/>
    <w:rsid w:val="005E2C27"/>
    <w:rsid w:val="005E3C0F"/>
    <w:rsid w:val="005E48A1"/>
    <w:rsid w:val="006054D8"/>
    <w:rsid w:val="00610D3B"/>
    <w:rsid w:val="0061109D"/>
    <w:rsid w:val="0062273D"/>
    <w:rsid w:val="00631E4A"/>
    <w:rsid w:val="006544E3"/>
    <w:rsid w:val="0069111E"/>
    <w:rsid w:val="006A19AE"/>
    <w:rsid w:val="006C60BA"/>
    <w:rsid w:val="006D051D"/>
    <w:rsid w:val="006D5B05"/>
    <w:rsid w:val="006D7580"/>
    <w:rsid w:val="006E04E3"/>
    <w:rsid w:val="006E23D7"/>
    <w:rsid w:val="006F0FB8"/>
    <w:rsid w:val="00705699"/>
    <w:rsid w:val="0071017D"/>
    <w:rsid w:val="00721780"/>
    <w:rsid w:val="00723218"/>
    <w:rsid w:val="00725BBE"/>
    <w:rsid w:val="00733CD2"/>
    <w:rsid w:val="00734B98"/>
    <w:rsid w:val="00746535"/>
    <w:rsid w:val="0074657A"/>
    <w:rsid w:val="00751784"/>
    <w:rsid w:val="00793E51"/>
    <w:rsid w:val="007B4AE5"/>
    <w:rsid w:val="007D104A"/>
    <w:rsid w:val="007D105C"/>
    <w:rsid w:val="007D76E5"/>
    <w:rsid w:val="00820E85"/>
    <w:rsid w:val="0082211E"/>
    <w:rsid w:val="00835F2F"/>
    <w:rsid w:val="00836E27"/>
    <w:rsid w:val="00837089"/>
    <w:rsid w:val="00841CC6"/>
    <w:rsid w:val="00842EE8"/>
    <w:rsid w:val="00844450"/>
    <w:rsid w:val="00853229"/>
    <w:rsid w:val="0086522C"/>
    <w:rsid w:val="00887F6A"/>
    <w:rsid w:val="008A003A"/>
    <w:rsid w:val="008D5817"/>
    <w:rsid w:val="008D7606"/>
    <w:rsid w:val="008F2419"/>
    <w:rsid w:val="00915C0F"/>
    <w:rsid w:val="00921E4B"/>
    <w:rsid w:val="009309CB"/>
    <w:rsid w:val="00931991"/>
    <w:rsid w:val="00934FB5"/>
    <w:rsid w:val="009365A4"/>
    <w:rsid w:val="00936FF5"/>
    <w:rsid w:val="00951691"/>
    <w:rsid w:val="00963A84"/>
    <w:rsid w:val="009A64AC"/>
    <w:rsid w:val="009B4AD2"/>
    <w:rsid w:val="009B69D1"/>
    <w:rsid w:val="009C5C12"/>
    <w:rsid w:val="009F1F48"/>
    <w:rsid w:val="00A04BEA"/>
    <w:rsid w:val="00A168DE"/>
    <w:rsid w:val="00A24ACF"/>
    <w:rsid w:val="00A36E97"/>
    <w:rsid w:val="00A43DD5"/>
    <w:rsid w:val="00A53251"/>
    <w:rsid w:val="00A601A8"/>
    <w:rsid w:val="00AA3658"/>
    <w:rsid w:val="00AA6E93"/>
    <w:rsid w:val="00AB65A3"/>
    <w:rsid w:val="00AC2309"/>
    <w:rsid w:val="00AD4C70"/>
    <w:rsid w:val="00AE4622"/>
    <w:rsid w:val="00AE52EA"/>
    <w:rsid w:val="00B01D2E"/>
    <w:rsid w:val="00B301C8"/>
    <w:rsid w:val="00B371EC"/>
    <w:rsid w:val="00B530B3"/>
    <w:rsid w:val="00B544D6"/>
    <w:rsid w:val="00B70093"/>
    <w:rsid w:val="00B95DC3"/>
    <w:rsid w:val="00BB01A1"/>
    <w:rsid w:val="00BB0504"/>
    <w:rsid w:val="00BB4824"/>
    <w:rsid w:val="00BB4A82"/>
    <w:rsid w:val="00BB6081"/>
    <w:rsid w:val="00BB7176"/>
    <w:rsid w:val="00BC047B"/>
    <w:rsid w:val="00BD376E"/>
    <w:rsid w:val="00BE5182"/>
    <w:rsid w:val="00C0708D"/>
    <w:rsid w:val="00C07601"/>
    <w:rsid w:val="00C21747"/>
    <w:rsid w:val="00C438B9"/>
    <w:rsid w:val="00C51046"/>
    <w:rsid w:val="00C63C79"/>
    <w:rsid w:val="00C6401A"/>
    <w:rsid w:val="00C823BE"/>
    <w:rsid w:val="00CA3FD1"/>
    <w:rsid w:val="00CA686C"/>
    <w:rsid w:val="00CC3D1F"/>
    <w:rsid w:val="00CE6B4F"/>
    <w:rsid w:val="00CF1C4C"/>
    <w:rsid w:val="00CF48B8"/>
    <w:rsid w:val="00D048B8"/>
    <w:rsid w:val="00D322E3"/>
    <w:rsid w:val="00D365D9"/>
    <w:rsid w:val="00D4615B"/>
    <w:rsid w:val="00D55E66"/>
    <w:rsid w:val="00D6014E"/>
    <w:rsid w:val="00D704F6"/>
    <w:rsid w:val="00D81B04"/>
    <w:rsid w:val="00D83D2E"/>
    <w:rsid w:val="00D8595B"/>
    <w:rsid w:val="00D961E1"/>
    <w:rsid w:val="00DA1725"/>
    <w:rsid w:val="00DC41A2"/>
    <w:rsid w:val="00DC7CDB"/>
    <w:rsid w:val="00DE784A"/>
    <w:rsid w:val="00DF1998"/>
    <w:rsid w:val="00E120E3"/>
    <w:rsid w:val="00E1285F"/>
    <w:rsid w:val="00E14F6A"/>
    <w:rsid w:val="00E1626D"/>
    <w:rsid w:val="00E26826"/>
    <w:rsid w:val="00E423D6"/>
    <w:rsid w:val="00E529D0"/>
    <w:rsid w:val="00E6322D"/>
    <w:rsid w:val="00E6527B"/>
    <w:rsid w:val="00E84121"/>
    <w:rsid w:val="00E85895"/>
    <w:rsid w:val="00E94B71"/>
    <w:rsid w:val="00EC2202"/>
    <w:rsid w:val="00ED6053"/>
    <w:rsid w:val="00EE215B"/>
    <w:rsid w:val="00EE642C"/>
    <w:rsid w:val="00EE6766"/>
    <w:rsid w:val="00F25EB1"/>
    <w:rsid w:val="00F44DD9"/>
    <w:rsid w:val="00F67D36"/>
    <w:rsid w:val="00F866E3"/>
    <w:rsid w:val="00F972D4"/>
    <w:rsid w:val="00FB42AD"/>
    <w:rsid w:val="00FB614C"/>
    <w:rsid w:val="00FC0361"/>
    <w:rsid w:val="00FC4709"/>
    <w:rsid w:val="00FD0CCF"/>
    <w:rsid w:val="00FD46A1"/>
    <w:rsid w:val="00FD7D24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2EE07"/>
  <w15:chartTrackingRefBased/>
  <w15:docId w15:val="{7212F5D3-B8F2-EF43-B460-1C977752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22C"/>
    <w:pPr>
      <w:spacing w:after="140" w:line="300" w:lineRule="atLeast"/>
      <w:ind w:left="-567"/>
      <w:outlineLvl w:val="0"/>
    </w:pPr>
    <w:rPr>
      <w:rFonts w:ascii="Gill Sans MT" w:hAnsi="Gill Sans MT" w:cs="Times New Roman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22C"/>
    <w:pPr>
      <w:spacing w:after="140" w:line="300" w:lineRule="atLeast"/>
      <w:ind w:left="-567"/>
      <w:outlineLvl w:val="1"/>
    </w:pPr>
    <w:rPr>
      <w:rFonts w:ascii="Gill Sans MT" w:hAnsi="Gill Sans MT" w:cs="Times New Roman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22C"/>
    <w:pPr>
      <w:spacing w:after="140" w:line="300" w:lineRule="atLeast"/>
      <w:ind w:left="-567"/>
      <w:outlineLvl w:val="2"/>
    </w:pPr>
    <w:rPr>
      <w:rFonts w:ascii="Gill Sans MT" w:hAnsi="Gill Sans MT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D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D3B"/>
  </w:style>
  <w:style w:type="paragraph" w:styleId="Footer">
    <w:name w:val="footer"/>
    <w:basedOn w:val="Normal"/>
    <w:link w:val="FooterChar"/>
    <w:uiPriority w:val="99"/>
    <w:unhideWhenUsed/>
    <w:rsid w:val="00610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D3B"/>
  </w:style>
  <w:style w:type="paragraph" w:styleId="NoSpacing">
    <w:name w:val="No Spacing"/>
    <w:link w:val="NoSpacingChar"/>
    <w:uiPriority w:val="1"/>
    <w:qFormat/>
    <w:rsid w:val="00841CC6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41CC6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6522C"/>
    <w:rPr>
      <w:rFonts w:ascii="Gill Sans MT" w:hAnsi="Gill Sans MT" w:cs="Times New Roman"/>
      <w:b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522C"/>
    <w:rPr>
      <w:rFonts w:ascii="Gill Sans MT" w:hAnsi="Gill Sans MT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522C"/>
    <w:rPr>
      <w:rFonts w:ascii="Gill Sans MT" w:hAnsi="Gill Sans MT" w:cs="Times New Roman"/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652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22C"/>
    <w:pPr>
      <w:ind w:left="-567"/>
    </w:pPr>
    <w:rPr>
      <w:rFonts w:ascii="Gill Sans MT" w:hAnsi="Gill Sans MT" w:cs="Times New Roman"/>
      <w:color w:val="4B351D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522C"/>
    <w:rPr>
      <w:rFonts w:ascii="Gill Sans MT" w:hAnsi="Gill Sans MT" w:cs="Times New Roman"/>
      <w:color w:val="4B351D"/>
      <w:sz w:val="36"/>
    </w:rPr>
  </w:style>
  <w:style w:type="character" w:styleId="PageNumber">
    <w:name w:val="page number"/>
    <w:basedOn w:val="DefaultParagraphFont"/>
    <w:uiPriority w:val="99"/>
    <w:semiHidden/>
    <w:unhideWhenUsed/>
    <w:rsid w:val="00853229"/>
  </w:style>
  <w:style w:type="paragraph" w:styleId="ListParagraph">
    <w:name w:val="List Paragraph"/>
    <w:basedOn w:val="Normal"/>
    <w:uiPriority w:val="34"/>
    <w:qFormat/>
    <w:rsid w:val="00CA6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805"/>
    <w:rPr>
      <w:color w:val="605E5C"/>
      <w:shd w:val="clear" w:color="auto" w:fill="E1DFDD"/>
    </w:rPr>
  </w:style>
  <w:style w:type="paragraph" w:customStyle="1" w:styleId="Doublespacingaboverecommendationbackground">
    <w:name w:val="Double spacing above recommendation/background"/>
    <w:basedOn w:val="Normal"/>
    <w:rsid w:val="00A601A8"/>
    <w:pPr>
      <w:spacing w:before="360" w:after="120"/>
      <w:ind w:left="1701" w:hanging="1701"/>
      <w:jc w:val="both"/>
    </w:pPr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ta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3175">
          <a:solidFill>
            <a:schemeClr val="accent1">
              <a:shade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4F3CA7-B954-3A45-856F-8A557D0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Soccol</dc:creator>
  <cp:keywords/>
  <dc:description/>
  <cp:lastModifiedBy>Smith, Ross A</cp:lastModifiedBy>
  <cp:revision>4</cp:revision>
  <dcterms:created xsi:type="dcterms:W3CDTF">2022-05-06T00:27:00Z</dcterms:created>
  <dcterms:modified xsi:type="dcterms:W3CDTF">2022-05-06T00:28:00Z</dcterms:modified>
</cp:coreProperties>
</file>