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5476" w14:textId="77777777" w:rsidR="0047744D" w:rsidRPr="0047744D" w:rsidRDefault="0047744D" w:rsidP="0047744D">
      <w:pPr>
        <w:tabs>
          <w:tab w:val="clear" w:pos="9639"/>
        </w:tabs>
        <w:spacing w:before="240" w:after="60"/>
        <w:ind w:left="0"/>
        <w:outlineLvl w:val="0"/>
        <w:rPr>
          <w:b/>
          <w:color w:val="005A96"/>
          <w:spacing w:val="-10"/>
          <w:sz w:val="28"/>
          <w:szCs w:val="28"/>
        </w:rPr>
      </w:pPr>
      <w:r w:rsidRPr="0047744D">
        <w:rPr>
          <w:b/>
          <w:color w:val="005A96"/>
          <w:spacing w:val="-10"/>
          <w:sz w:val="28"/>
          <w:szCs w:val="28"/>
        </w:rPr>
        <w:t>Digital Health Transformation on a Page</w:t>
      </w:r>
    </w:p>
    <w:p w14:paraId="4FC5674A" w14:textId="77777777" w:rsidR="0047744D" w:rsidRP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Our Vision</w:t>
      </w:r>
    </w:p>
    <w:p w14:paraId="63186DDA" w14:textId="77777777" w:rsidR="0047744D" w:rsidRPr="0047744D" w:rsidRDefault="0047744D" w:rsidP="0047744D">
      <w:pPr>
        <w:tabs>
          <w:tab w:val="clear" w:pos="9639"/>
        </w:tabs>
        <w:spacing w:before="44" w:line="247" w:lineRule="auto"/>
        <w:ind w:left="0" w:right="927"/>
        <w:rPr>
          <w:b/>
          <w:color w:val="auto"/>
          <w:spacing w:val="-4"/>
          <w:szCs w:val="22"/>
        </w:rPr>
      </w:pPr>
      <w:r w:rsidRPr="0047744D">
        <w:rPr>
          <w:b/>
          <w:color w:val="auto"/>
          <w:spacing w:val="-9"/>
          <w:szCs w:val="22"/>
        </w:rPr>
        <w:t xml:space="preserve">“To </w:t>
      </w:r>
      <w:r w:rsidRPr="0047744D">
        <w:rPr>
          <w:b/>
          <w:color w:val="auto"/>
          <w:spacing w:val="-4"/>
          <w:szCs w:val="22"/>
        </w:rPr>
        <w:t xml:space="preserve">empower </w:t>
      </w:r>
      <w:r w:rsidRPr="0047744D">
        <w:rPr>
          <w:b/>
          <w:color w:val="auto"/>
          <w:spacing w:val="-3"/>
          <w:szCs w:val="22"/>
        </w:rPr>
        <w:t xml:space="preserve">consumers </w:t>
      </w:r>
      <w:r w:rsidRPr="0047744D">
        <w:rPr>
          <w:b/>
          <w:color w:val="auto"/>
          <w:szCs w:val="22"/>
        </w:rPr>
        <w:t xml:space="preserve">and </w:t>
      </w:r>
      <w:r w:rsidRPr="0047744D">
        <w:rPr>
          <w:b/>
          <w:color w:val="auto"/>
          <w:spacing w:val="-3"/>
          <w:szCs w:val="22"/>
        </w:rPr>
        <w:t xml:space="preserve">enable healthcare professionals </w:t>
      </w:r>
      <w:r w:rsidRPr="0047744D">
        <w:rPr>
          <w:b/>
          <w:color w:val="auto"/>
          <w:szCs w:val="22"/>
        </w:rPr>
        <w:t xml:space="preserve">to </w:t>
      </w:r>
      <w:r w:rsidRPr="0047744D">
        <w:rPr>
          <w:b/>
          <w:color w:val="auto"/>
          <w:spacing w:val="-4"/>
          <w:szCs w:val="22"/>
        </w:rPr>
        <w:t xml:space="preserve">deliver </w:t>
      </w:r>
      <w:r w:rsidRPr="0047744D">
        <w:rPr>
          <w:b/>
          <w:color w:val="auto"/>
          <w:spacing w:val="-3"/>
          <w:szCs w:val="22"/>
        </w:rPr>
        <w:t xml:space="preserve">better patient </w:t>
      </w:r>
      <w:r w:rsidRPr="0047744D">
        <w:rPr>
          <w:b/>
          <w:color w:val="auto"/>
          <w:spacing w:val="-4"/>
          <w:szCs w:val="22"/>
        </w:rPr>
        <w:t xml:space="preserve">outcomes through </w:t>
      </w:r>
      <w:r w:rsidRPr="0047744D">
        <w:rPr>
          <w:b/>
          <w:color w:val="auto"/>
          <w:spacing w:val="-3"/>
          <w:szCs w:val="22"/>
        </w:rPr>
        <w:t xml:space="preserve">system-wide, digitally enabled </w:t>
      </w:r>
      <w:r w:rsidRPr="0047744D">
        <w:rPr>
          <w:b/>
          <w:color w:val="auto"/>
          <w:spacing w:val="-4"/>
          <w:szCs w:val="22"/>
        </w:rPr>
        <w:t>technologies.”</w:t>
      </w:r>
    </w:p>
    <w:p w14:paraId="6A433FAA" w14:textId="77777777" w:rsidR="0047744D" w:rsidRP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Focus areas</w:t>
      </w:r>
    </w:p>
    <w:p w14:paraId="30EE5F49" w14:textId="77777777" w:rsidR="0047744D" w:rsidRPr="0047744D" w:rsidRDefault="0047744D" w:rsidP="0047744D">
      <w:pPr>
        <w:tabs>
          <w:tab w:val="clear" w:pos="9639"/>
        </w:tabs>
        <w:spacing w:line="247" w:lineRule="auto"/>
        <w:ind w:left="0"/>
        <w:rPr>
          <w:color w:val="231F20"/>
          <w:szCs w:val="22"/>
        </w:rPr>
      </w:pPr>
      <w:r w:rsidRPr="0047744D">
        <w:rPr>
          <w:color w:val="231F20"/>
          <w:szCs w:val="22"/>
        </w:rPr>
        <w:t>Improve Community Care</w:t>
      </w:r>
    </w:p>
    <w:p w14:paraId="43CA3708" w14:textId="77777777" w:rsidR="0047744D" w:rsidRPr="0047744D" w:rsidRDefault="0047744D" w:rsidP="0047744D">
      <w:pPr>
        <w:tabs>
          <w:tab w:val="clear" w:pos="9639"/>
        </w:tabs>
        <w:spacing w:line="247" w:lineRule="auto"/>
        <w:ind w:left="0"/>
        <w:rPr>
          <w:color w:val="231F20"/>
          <w:szCs w:val="22"/>
        </w:rPr>
      </w:pPr>
      <w:r w:rsidRPr="0047744D">
        <w:rPr>
          <w:color w:val="231F20"/>
          <w:szCs w:val="22"/>
        </w:rPr>
        <w:t>Engage patients in their care</w:t>
      </w:r>
    </w:p>
    <w:p w14:paraId="3FADFAA2" w14:textId="77777777" w:rsidR="0047744D" w:rsidRPr="0047744D" w:rsidRDefault="0047744D" w:rsidP="0047744D">
      <w:pPr>
        <w:tabs>
          <w:tab w:val="clear" w:pos="9639"/>
        </w:tabs>
        <w:spacing w:line="247" w:lineRule="auto"/>
        <w:ind w:left="0"/>
        <w:rPr>
          <w:szCs w:val="22"/>
        </w:rPr>
      </w:pPr>
      <w:r w:rsidRPr="0047744D">
        <w:rPr>
          <w:szCs w:val="22"/>
        </w:rPr>
        <w:t>Optimise clinical and operational workflows</w:t>
      </w:r>
    </w:p>
    <w:p w14:paraId="1074F2B2" w14:textId="77777777" w:rsidR="0047744D" w:rsidRPr="0047744D" w:rsidRDefault="0047744D" w:rsidP="0047744D">
      <w:pPr>
        <w:tabs>
          <w:tab w:val="clear" w:pos="9639"/>
        </w:tabs>
        <w:spacing w:line="247" w:lineRule="auto"/>
        <w:ind w:left="0"/>
        <w:rPr>
          <w:color w:val="231F20"/>
          <w:szCs w:val="22"/>
        </w:rPr>
      </w:pPr>
      <w:r w:rsidRPr="0047744D">
        <w:rPr>
          <w:color w:val="231F20"/>
          <w:szCs w:val="22"/>
        </w:rPr>
        <w:t>Foster statewide Clinical Collaboration</w:t>
      </w:r>
    </w:p>
    <w:p w14:paraId="718F41F8" w14:textId="77777777" w:rsidR="0047744D" w:rsidRP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Principles</w:t>
      </w:r>
    </w:p>
    <w:p w14:paraId="1FE2C6D9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Patient centred approach</w:t>
      </w:r>
    </w:p>
    <w:p w14:paraId="59F34121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Clinically led</w:t>
      </w:r>
    </w:p>
    <w:p w14:paraId="64168812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Timely care delivery through service optimisation</w:t>
      </w:r>
    </w:p>
    <w:p w14:paraId="4F6F08C2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Leverage proven solutions</w:t>
      </w:r>
    </w:p>
    <w:p w14:paraId="71AFDBBB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Real-time responsive and adaptive environment</w:t>
      </w:r>
    </w:p>
    <w:p w14:paraId="028D8C4C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Close the digital divide</w:t>
      </w:r>
    </w:p>
    <w:p w14:paraId="0B4C00BA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Harness innovation</w:t>
      </w:r>
    </w:p>
    <w:p w14:paraId="7DC48D20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Private, secure and high quality patient data</w:t>
      </w:r>
    </w:p>
    <w:p w14:paraId="23674C5F" w14:textId="77777777" w:rsidR="0047744D" w:rsidRPr="0047744D" w:rsidRDefault="0047744D" w:rsidP="0047744D">
      <w:pPr>
        <w:tabs>
          <w:tab w:val="clear" w:pos="9639"/>
          <w:tab w:val="left" w:pos="10348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Horizons and Key Initiatives</w:t>
      </w:r>
    </w:p>
    <w:p w14:paraId="4CE995E1" w14:textId="77777777" w:rsidR="0047744D" w:rsidRP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Horizon 1</w:t>
      </w:r>
    </w:p>
    <w:p w14:paraId="3827A983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Horizon 1 makes the most of what we have now by increasing access to systems and expanding key capabilities.</w:t>
      </w:r>
    </w:p>
    <w:p w14:paraId="649ED916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In parallel, foundations will be built to prepare for the major change and investment phase of Horizon 2.</w:t>
      </w:r>
    </w:p>
    <w:p w14:paraId="3CFAFA4F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b/>
          <w:bCs/>
          <w:color w:val="auto"/>
          <w:szCs w:val="22"/>
        </w:rPr>
      </w:pPr>
      <w:r w:rsidRPr="0047744D">
        <w:rPr>
          <w:b/>
          <w:bCs/>
          <w:color w:val="auto"/>
          <w:szCs w:val="22"/>
        </w:rPr>
        <w:t>Strategy Foundations</w:t>
      </w:r>
    </w:p>
    <w:p w14:paraId="03616FF6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szCs w:val="22"/>
        </w:rPr>
      </w:pPr>
      <w:r w:rsidRPr="0047744D">
        <w:rPr>
          <w:szCs w:val="22"/>
        </w:rPr>
        <w:t xml:space="preserve">Stand-up program </w:t>
      </w:r>
    </w:p>
    <w:p w14:paraId="4C10D9E1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szCs w:val="22"/>
        </w:rPr>
      </w:pPr>
      <w:r w:rsidRPr="0047744D">
        <w:rPr>
          <w:szCs w:val="22"/>
        </w:rPr>
        <w:t xml:space="preserve">Set standards – data, interoperability </w:t>
      </w:r>
    </w:p>
    <w:p w14:paraId="3D835857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szCs w:val="22"/>
        </w:rPr>
      </w:pPr>
      <w:r w:rsidRPr="0047744D">
        <w:rPr>
          <w:szCs w:val="22"/>
        </w:rPr>
        <w:t xml:space="preserve">ICT infrastructure uplift </w:t>
      </w:r>
    </w:p>
    <w:p w14:paraId="72E0E602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szCs w:val="22"/>
        </w:rPr>
      </w:pPr>
      <w:r w:rsidRPr="0047744D">
        <w:rPr>
          <w:szCs w:val="22"/>
        </w:rPr>
        <w:t>Workforce capability uplift</w:t>
      </w:r>
    </w:p>
    <w:p w14:paraId="38E4C3DA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Horizon 2 planning and readiness</w:t>
      </w:r>
    </w:p>
    <w:p w14:paraId="3B3A560A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Enhancements</w:t>
      </w:r>
    </w:p>
    <w:p w14:paraId="4803A14A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Increase access to clinical information</w:t>
      </w:r>
    </w:p>
    <w:p w14:paraId="4E4F5DB0" w14:textId="77777777" w:rsidR="0047744D" w:rsidRPr="0047744D" w:rsidRDefault="0047744D" w:rsidP="0047744D">
      <w:pPr>
        <w:tabs>
          <w:tab w:val="clear" w:pos="9639"/>
        </w:tabs>
        <w:ind w:left="0"/>
        <w:rPr>
          <w:color w:val="231F20"/>
          <w:szCs w:val="22"/>
        </w:rPr>
      </w:pPr>
      <w:r w:rsidRPr="0047744D">
        <w:rPr>
          <w:color w:val="231F20"/>
          <w:szCs w:val="22"/>
        </w:rPr>
        <w:t>eReferral &amp; Separation Summaries</w:t>
      </w:r>
    </w:p>
    <w:p w14:paraId="55C9FF8E" w14:textId="77777777" w:rsidR="0047744D" w:rsidRPr="0047744D" w:rsidRDefault="0047744D" w:rsidP="0047744D">
      <w:pPr>
        <w:tabs>
          <w:tab w:val="clear" w:pos="9639"/>
        </w:tabs>
        <w:ind w:left="0"/>
        <w:rPr>
          <w:color w:val="231F20"/>
          <w:szCs w:val="22"/>
          <w:shd w:val="clear" w:color="auto" w:fill="FFFFFF"/>
        </w:rPr>
      </w:pPr>
      <w:r w:rsidRPr="0047744D">
        <w:rPr>
          <w:color w:val="231F20"/>
          <w:szCs w:val="22"/>
          <w:shd w:val="clear" w:color="auto" w:fill="FFFFFF"/>
        </w:rPr>
        <w:t>First responders digital foundations</w:t>
      </w:r>
    </w:p>
    <w:p w14:paraId="415DC387" w14:textId="77777777" w:rsidR="0047744D" w:rsidRPr="0047744D" w:rsidRDefault="0047744D" w:rsidP="0047744D">
      <w:pPr>
        <w:tabs>
          <w:tab w:val="clear" w:pos="9639"/>
        </w:tabs>
        <w:ind w:left="0"/>
        <w:rPr>
          <w:color w:val="231F20"/>
          <w:szCs w:val="22"/>
          <w:shd w:val="clear" w:color="auto" w:fill="FFFFFF"/>
        </w:rPr>
      </w:pPr>
      <w:r w:rsidRPr="0047744D">
        <w:rPr>
          <w:color w:val="231F20"/>
          <w:szCs w:val="22"/>
          <w:shd w:val="clear" w:color="auto" w:fill="FFFFFF"/>
        </w:rPr>
        <w:lastRenderedPageBreak/>
        <w:t>Expand telehealth &amp; virtual</w:t>
      </w:r>
      <w:r w:rsidRPr="0047744D">
        <w:rPr>
          <w:color w:val="231F20"/>
          <w:spacing w:val="-1"/>
          <w:szCs w:val="22"/>
          <w:shd w:val="clear" w:color="auto" w:fill="FFFFFF"/>
        </w:rPr>
        <w:t xml:space="preserve"> </w:t>
      </w:r>
      <w:r w:rsidRPr="0047744D">
        <w:rPr>
          <w:color w:val="231F20"/>
          <w:szCs w:val="22"/>
          <w:shd w:val="clear" w:color="auto" w:fill="FFFFFF"/>
        </w:rPr>
        <w:t>care</w:t>
      </w:r>
    </w:p>
    <w:p w14:paraId="4522DCD2" w14:textId="77777777" w:rsidR="0047744D" w:rsidRPr="0047744D" w:rsidRDefault="0047744D" w:rsidP="0047744D">
      <w:pPr>
        <w:tabs>
          <w:tab w:val="clear" w:pos="9639"/>
        </w:tabs>
        <w:ind w:left="0" w:right="-22"/>
        <w:rPr>
          <w:b/>
          <w:bCs/>
          <w:color w:val="231F20"/>
          <w:szCs w:val="22"/>
          <w:shd w:val="clear" w:color="auto" w:fill="FFFFFF"/>
        </w:rPr>
      </w:pPr>
      <w:r w:rsidRPr="0047744D">
        <w:rPr>
          <w:b/>
          <w:bCs/>
          <w:color w:val="231F20"/>
          <w:szCs w:val="22"/>
          <w:shd w:val="clear" w:color="auto" w:fill="FFFFFF"/>
        </w:rPr>
        <w:t>Health information sharing H1</w:t>
      </w:r>
    </w:p>
    <w:p w14:paraId="657E48C4" w14:textId="77777777" w:rsidR="0047744D" w:rsidRPr="0047744D" w:rsidRDefault="0047744D" w:rsidP="0047744D">
      <w:pPr>
        <w:tabs>
          <w:tab w:val="clear" w:pos="9639"/>
        </w:tabs>
        <w:spacing w:before="30"/>
        <w:ind w:left="0"/>
        <w:rPr>
          <w:szCs w:val="22"/>
        </w:rPr>
      </w:pPr>
      <w:r w:rsidRPr="0047744D">
        <w:rPr>
          <w:color w:val="231F20"/>
          <w:szCs w:val="22"/>
        </w:rPr>
        <w:t>Clinical information viewer</w:t>
      </w:r>
    </w:p>
    <w:p w14:paraId="38BA774C" w14:textId="77777777" w:rsidR="0047744D" w:rsidRPr="0047744D" w:rsidRDefault="0047744D" w:rsidP="0047744D">
      <w:pPr>
        <w:tabs>
          <w:tab w:val="clear" w:pos="9639"/>
        </w:tabs>
        <w:spacing w:before="30"/>
        <w:ind w:left="0"/>
        <w:rPr>
          <w:szCs w:val="22"/>
        </w:rPr>
      </w:pPr>
      <w:r w:rsidRPr="0047744D">
        <w:rPr>
          <w:color w:val="231F20"/>
          <w:szCs w:val="22"/>
        </w:rPr>
        <w:t>Leverage national standards</w:t>
      </w:r>
    </w:p>
    <w:p w14:paraId="647F6E42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color w:val="231F20"/>
          <w:szCs w:val="22"/>
          <w:shd w:val="clear" w:color="auto" w:fill="FFFFFF"/>
        </w:rPr>
      </w:pPr>
      <w:r w:rsidRPr="0047744D">
        <w:rPr>
          <w:b/>
          <w:bCs/>
          <w:color w:val="231F20"/>
          <w:szCs w:val="22"/>
          <w:shd w:val="clear" w:color="auto" w:fill="FFFFFF"/>
        </w:rPr>
        <w:t>Outcomes</w:t>
      </w:r>
    </w:p>
    <w:p w14:paraId="07B5B70B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-306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Increased visibility of clinical information across all settings; improved patient handover and outcomes</w:t>
      </w:r>
    </w:p>
    <w:p w14:paraId="613BC509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Digital transformation readiness, including true interoperability foundations</w:t>
      </w:r>
    </w:p>
    <w:p w14:paraId="4D02D245" w14:textId="77777777" w:rsidR="0047744D" w:rsidRP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Horizon 2</w:t>
      </w:r>
    </w:p>
    <w:p w14:paraId="00497F68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Horizon 2 builds a digital health record that spans acute, outpatients and community care, integrates speciality and diagnostic systems and supports primary care and consumer interactions.</w:t>
      </w:r>
    </w:p>
    <w:p w14:paraId="1EA96032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Horizon 2 also enhances patient flow, diagnostic and support services.</w:t>
      </w:r>
    </w:p>
    <w:p w14:paraId="62DC2678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EMR &amp; Integration</w:t>
      </w:r>
    </w:p>
    <w:p w14:paraId="32BCBCAF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color w:val="231F20"/>
          <w:szCs w:val="22"/>
        </w:rPr>
        <w:t>Patient administration uplift</w:t>
      </w:r>
    </w:p>
    <w:p w14:paraId="0D9F5F6B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color w:val="231F20"/>
          <w:szCs w:val="22"/>
        </w:rPr>
      </w:pPr>
      <w:r w:rsidRPr="0047744D">
        <w:rPr>
          <w:color w:val="231F20"/>
          <w:szCs w:val="22"/>
        </w:rPr>
        <w:t>Patient flow optimisation</w:t>
      </w:r>
    </w:p>
    <w:p w14:paraId="361C372E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color w:val="231F20"/>
          <w:szCs w:val="22"/>
        </w:rPr>
      </w:pPr>
      <w:r w:rsidRPr="0047744D">
        <w:rPr>
          <w:color w:val="231F20"/>
          <w:szCs w:val="22"/>
        </w:rPr>
        <w:t>Acute, outpatients, community</w:t>
      </w:r>
    </w:p>
    <w:p w14:paraId="737DB919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color w:val="231F20"/>
          <w:szCs w:val="22"/>
          <w:shd w:val="clear" w:color="auto" w:fill="FFFFFF"/>
        </w:rPr>
        <w:t xml:space="preserve">Electronic Medication Management </w:t>
      </w:r>
    </w:p>
    <w:p w14:paraId="3932E8AC" w14:textId="77777777" w:rsidR="0047744D" w:rsidRPr="0047744D" w:rsidRDefault="0047744D" w:rsidP="0047744D">
      <w:pPr>
        <w:tabs>
          <w:tab w:val="clear" w:pos="9639"/>
        </w:tabs>
        <w:spacing w:before="128"/>
        <w:ind w:left="0"/>
        <w:rPr>
          <w:color w:val="231F20"/>
          <w:spacing w:val="6"/>
          <w:szCs w:val="22"/>
          <w:shd w:val="clear" w:color="auto" w:fill="FFFFFF"/>
        </w:rPr>
      </w:pPr>
      <w:r w:rsidRPr="0047744D">
        <w:rPr>
          <w:color w:val="231F20"/>
          <w:spacing w:val="-8"/>
          <w:szCs w:val="22"/>
          <w:shd w:val="clear" w:color="auto" w:fill="FFFFFF"/>
        </w:rPr>
        <w:t xml:space="preserve">Specialty </w:t>
      </w:r>
      <w:r w:rsidRPr="0047744D">
        <w:rPr>
          <w:color w:val="231F20"/>
          <w:spacing w:val="-7"/>
          <w:szCs w:val="22"/>
          <w:shd w:val="clear" w:color="auto" w:fill="FFFFFF"/>
        </w:rPr>
        <w:t xml:space="preserve">system </w:t>
      </w:r>
      <w:r w:rsidRPr="0047744D">
        <w:rPr>
          <w:color w:val="231F20"/>
          <w:szCs w:val="22"/>
          <w:shd w:val="clear" w:color="auto" w:fill="FFFFFF"/>
        </w:rPr>
        <w:t xml:space="preserve">&amp; </w:t>
      </w:r>
      <w:r w:rsidRPr="0047744D">
        <w:rPr>
          <w:color w:val="231F20"/>
          <w:spacing w:val="-8"/>
          <w:szCs w:val="22"/>
          <w:shd w:val="clear" w:color="auto" w:fill="FFFFFF"/>
        </w:rPr>
        <w:t>diagnostics integration</w:t>
      </w:r>
      <w:r w:rsidRPr="0047744D">
        <w:rPr>
          <w:color w:val="231F20"/>
          <w:spacing w:val="6"/>
          <w:szCs w:val="22"/>
          <w:shd w:val="clear" w:color="auto" w:fill="FFFFFF"/>
        </w:rPr>
        <w:t xml:space="preserve"> </w:t>
      </w:r>
    </w:p>
    <w:p w14:paraId="7114DA3C" w14:textId="77777777" w:rsidR="0047744D" w:rsidRPr="0047744D" w:rsidRDefault="0047744D" w:rsidP="0047744D">
      <w:pPr>
        <w:tabs>
          <w:tab w:val="clear" w:pos="9639"/>
        </w:tabs>
        <w:spacing w:before="30"/>
        <w:ind w:left="0"/>
        <w:rPr>
          <w:color w:val="231F20"/>
          <w:szCs w:val="22"/>
        </w:rPr>
      </w:pPr>
      <w:r w:rsidRPr="0047744D">
        <w:rPr>
          <w:color w:val="231F20"/>
          <w:szCs w:val="22"/>
        </w:rPr>
        <w:t>Integrated patient record</w:t>
      </w:r>
    </w:p>
    <w:p w14:paraId="48052223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Diagnostic services</w:t>
      </w:r>
    </w:p>
    <w:p w14:paraId="07FB79C0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Support services</w:t>
      </w:r>
    </w:p>
    <w:p w14:paraId="557A76D7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Decision support</w:t>
      </w:r>
    </w:p>
    <w:p w14:paraId="562E09DE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Health information sharing H2</w:t>
      </w:r>
    </w:p>
    <w:p w14:paraId="3F3D7BD7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Patient engagement</w:t>
      </w:r>
    </w:p>
    <w:p w14:paraId="34C4BA0D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Extended clinical information viewer</w:t>
      </w:r>
    </w:p>
    <w:p w14:paraId="7A22617B" w14:textId="77777777" w:rsidR="0047744D" w:rsidRPr="0047744D" w:rsidRDefault="0047744D" w:rsidP="0047744D">
      <w:pPr>
        <w:tabs>
          <w:tab w:val="clear" w:pos="9639"/>
        </w:tabs>
        <w:spacing w:after="140"/>
        <w:ind w:left="-567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Outcomes</w:t>
      </w:r>
    </w:p>
    <w:p w14:paraId="1402A6F2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Modern EMR capability</w:t>
      </w:r>
    </w:p>
    <w:p w14:paraId="44CB3DBF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Improved patient flow, scheduling and</w:t>
      </w:r>
    </w:p>
    <w:p w14:paraId="440CAC31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demand management</w:t>
      </w:r>
    </w:p>
    <w:p w14:paraId="3536AB8B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Consumer portals</w:t>
      </w:r>
    </w:p>
    <w:p w14:paraId="0D5FC1E0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Well-integrated clinical systems</w:t>
      </w:r>
    </w:p>
    <w:p w14:paraId="2D9D61B4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Information sharing across care settings</w:t>
      </w:r>
    </w:p>
    <w:p w14:paraId="2E351B23" w14:textId="77777777" w:rsid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</w:p>
    <w:p w14:paraId="41CC256C" w14:textId="77777777" w:rsid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</w:p>
    <w:p w14:paraId="09B9FA21" w14:textId="465EE6E1" w:rsidR="0047744D" w:rsidRP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Horizon 3</w:t>
      </w:r>
    </w:p>
    <w:p w14:paraId="3EBD7F42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szCs w:val="22"/>
        </w:rPr>
      </w:pPr>
      <w:r w:rsidRPr="0047744D">
        <w:rPr>
          <w:szCs w:val="22"/>
        </w:rPr>
        <w:t>Horizon 3 draws on the rich data and digital capabilities established in Horizon 2 to optimise clinical decisions and patient outcomes, anticipate and manage service demands and support innovative, personalised approaches to care.</w:t>
      </w:r>
    </w:p>
    <w:p w14:paraId="06C7D475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Outcomes measurement</w:t>
      </w:r>
    </w:p>
    <w:p w14:paraId="3B2E38F0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color w:val="231F20"/>
          <w:szCs w:val="22"/>
        </w:rPr>
        <w:t>Patient outcomes &amp; experience</w:t>
      </w:r>
    </w:p>
    <w:p w14:paraId="774B1E02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color w:val="231F20"/>
          <w:szCs w:val="22"/>
        </w:rPr>
        <w:t>Care team reported outcomes</w:t>
      </w:r>
    </w:p>
    <w:p w14:paraId="17CB363A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color w:val="231F20"/>
          <w:spacing w:val="-7"/>
          <w:szCs w:val="22"/>
        </w:rPr>
        <w:t xml:space="preserve">Care </w:t>
      </w:r>
      <w:r w:rsidRPr="0047744D">
        <w:rPr>
          <w:color w:val="231F20"/>
          <w:spacing w:val="-8"/>
          <w:szCs w:val="22"/>
        </w:rPr>
        <w:t xml:space="preserve">co-ordination </w:t>
      </w:r>
      <w:r w:rsidRPr="0047744D">
        <w:rPr>
          <w:color w:val="231F20"/>
          <w:spacing w:val="-6"/>
          <w:szCs w:val="22"/>
        </w:rPr>
        <w:t xml:space="preserve">and </w:t>
      </w:r>
      <w:r w:rsidRPr="0047744D">
        <w:rPr>
          <w:color w:val="231F20"/>
          <w:spacing w:val="-8"/>
          <w:szCs w:val="22"/>
        </w:rPr>
        <w:t xml:space="preserve">transitions </w:t>
      </w:r>
      <w:r w:rsidRPr="0047744D">
        <w:rPr>
          <w:color w:val="231F20"/>
          <w:spacing w:val="-4"/>
          <w:szCs w:val="22"/>
        </w:rPr>
        <w:t xml:space="preserve">of </w:t>
      </w:r>
      <w:r w:rsidRPr="0047744D">
        <w:rPr>
          <w:color w:val="231F20"/>
          <w:spacing w:val="-7"/>
          <w:szCs w:val="22"/>
        </w:rPr>
        <w:t>care</w:t>
      </w:r>
    </w:p>
    <w:p w14:paraId="69EC2084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Advanced</w:t>
      </w:r>
      <w:r w:rsidRPr="0047744D">
        <w:rPr>
          <w:b/>
          <w:bCs/>
          <w:spacing w:val="-13"/>
          <w:szCs w:val="22"/>
        </w:rPr>
        <w:t xml:space="preserve"> </w:t>
      </w:r>
      <w:r w:rsidRPr="0047744D">
        <w:rPr>
          <w:b/>
          <w:bCs/>
          <w:szCs w:val="22"/>
        </w:rPr>
        <w:t>Data</w:t>
      </w:r>
      <w:r w:rsidRPr="0047744D">
        <w:rPr>
          <w:b/>
          <w:bCs/>
          <w:spacing w:val="-12"/>
          <w:szCs w:val="22"/>
        </w:rPr>
        <w:t xml:space="preserve"> </w:t>
      </w:r>
      <w:r w:rsidRPr="0047744D">
        <w:rPr>
          <w:b/>
          <w:bCs/>
          <w:szCs w:val="22"/>
        </w:rPr>
        <w:t>Analytics</w:t>
      </w:r>
      <w:r w:rsidRPr="0047744D">
        <w:rPr>
          <w:b/>
          <w:bCs/>
          <w:spacing w:val="-12"/>
          <w:szCs w:val="22"/>
        </w:rPr>
        <w:t xml:space="preserve"> </w:t>
      </w:r>
      <w:r w:rsidRPr="0047744D">
        <w:rPr>
          <w:b/>
          <w:bCs/>
          <w:szCs w:val="22"/>
        </w:rPr>
        <w:t>/</w:t>
      </w:r>
      <w:r w:rsidRPr="0047744D">
        <w:rPr>
          <w:b/>
          <w:bCs/>
          <w:spacing w:val="-12"/>
          <w:szCs w:val="22"/>
        </w:rPr>
        <w:t xml:space="preserve"> </w:t>
      </w:r>
      <w:r w:rsidRPr="0047744D">
        <w:rPr>
          <w:b/>
          <w:bCs/>
          <w:szCs w:val="22"/>
        </w:rPr>
        <w:t>Service Optimisation</w:t>
      </w:r>
    </w:p>
    <w:p w14:paraId="22A852CE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Predictive analytics</w:t>
      </w:r>
    </w:p>
    <w:p w14:paraId="2E7D5D10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  <w:shd w:val="clear" w:color="auto" w:fill="FFFFFF"/>
        </w:rPr>
        <w:t>Optimised demand</w:t>
      </w:r>
      <w:r w:rsidRPr="0047744D">
        <w:rPr>
          <w:spacing w:val="-9"/>
          <w:szCs w:val="22"/>
          <w:shd w:val="clear" w:color="auto" w:fill="FFFFFF"/>
        </w:rPr>
        <w:t xml:space="preserve"> </w:t>
      </w:r>
      <w:r w:rsidRPr="0047744D">
        <w:rPr>
          <w:szCs w:val="22"/>
          <w:shd w:val="clear" w:color="auto" w:fill="FFFFFF"/>
        </w:rPr>
        <w:t>management</w:t>
      </w:r>
      <w:r w:rsidRPr="0047744D">
        <w:rPr>
          <w:szCs w:val="22"/>
          <w:shd w:val="clear" w:color="auto" w:fill="FFFFFF"/>
        </w:rPr>
        <w:tab/>
      </w:r>
    </w:p>
    <w:p w14:paraId="1A67F972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</w:rPr>
        <w:t>Advanced decision support</w:t>
      </w:r>
    </w:p>
    <w:p w14:paraId="21D93A98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Clinical Innovation</w:t>
      </w:r>
    </w:p>
    <w:p w14:paraId="25A9AB31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  <w:shd w:val="clear" w:color="auto" w:fill="FFFFFF"/>
        </w:rPr>
        <w:t>Personalised and precision</w:t>
      </w:r>
      <w:r w:rsidRPr="0047744D">
        <w:rPr>
          <w:spacing w:val="-9"/>
          <w:szCs w:val="22"/>
          <w:shd w:val="clear" w:color="auto" w:fill="FFFFFF"/>
        </w:rPr>
        <w:t xml:space="preserve"> </w:t>
      </w:r>
      <w:r w:rsidRPr="0047744D">
        <w:rPr>
          <w:szCs w:val="22"/>
          <w:shd w:val="clear" w:color="auto" w:fill="FFFFFF"/>
        </w:rPr>
        <w:t>medicine</w:t>
      </w:r>
      <w:r w:rsidRPr="0047744D">
        <w:rPr>
          <w:spacing w:val="10"/>
          <w:szCs w:val="22"/>
          <w:shd w:val="clear" w:color="auto" w:fill="FFFFFF"/>
        </w:rPr>
        <w:t xml:space="preserve"> </w:t>
      </w:r>
    </w:p>
    <w:p w14:paraId="791945B2" w14:textId="77777777" w:rsidR="0047744D" w:rsidRPr="0047744D" w:rsidRDefault="0047744D" w:rsidP="0047744D">
      <w:pPr>
        <w:tabs>
          <w:tab w:val="clear" w:pos="9639"/>
        </w:tabs>
        <w:ind w:left="0"/>
        <w:rPr>
          <w:szCs w:val="22"/>
        </w:rPr>
      </w:pPr>
      <w:r w:rsidRPr="0047744D">
        <w:rPr>
          <w:szCs w:val="22"/>
          <w:shd w:val="clear" w:color="auto" w:fill="FFFFFF"/>
        </w:rPr>
        <w:t xml:space="preserve">AI </w:t>
      </w:r>
      <w:r w:rsidRPr="0047744D">
        <w:rPr>
          <w:spacing w:val="-3"/>
          <w:szCs w:val="22"/>
          <w:shd w:val="clear" w:color="auto" w:fill="FFFFFF"/>
        </w:rPr>
        <w:t xml:space="preserve">and </w:t>
      </w:r>
      <w:r w:rsidRPr="0047744D">
        <w:rPr>
          <w:spacing w:val="-4"/>
          <w:szCs w:val="22"/>
          <w:shd w:val="clear" w:color="auto" w:fill="FFFFFF"/>
        </w:rPr>
        <w:t xml:space="preserve">machine learning </w:t>
      </w:r>
      <w:r w:rsidRPr="0047744D">
        <w:rPr>
          <w:szCs w:val="22"/>
          <w:shd w:val="clear" w:color="auto" w:fill="FFFFFF"/>
        </w:rPr>
        <w:t xml:space="preserve">/ </w:t>
      </w:r>
      <w:r w:rsidRPr="0047744D">
        <w:rPr>
          <w:spacing w:val="-4"/>
          <w:szCs w:val="22"/>
          <w:shd w:val="clear" w:color="auto" w:fill="FFFFFF"/>
        </w:rPr>
        <w:t>Digital</w:t>
      </w:r>
      <w:r w:rsidRPr="0047744D">
        <w:rPr>
          <w:spacing w:val="-24"/>
          <w:szCs w:val="22"/>
          <w:shd w:val="clear" w:color="auto" w:fill="FFFFFF"/>
        </w:rPr>
        <w:t xml:space="preserve"> </w:t>
      </w:r>
      <w:r w:rsidRPr="0047744D">
        <w:rPr>
          <w:spacing w:val="-4"/>
          <w:szCs w:val="22"/>
          <w:shd w:val="clear" w:color="auto" w:fill="FFFFFF"/>
        </w:rPr>
        <w:t>twins</w:t>
      </w:r>
      <w:r w:rsidRPr="0047744D">
        <w:rPr>
          <w:spacing w:val="-9"/>
          <w:szCs w:val="22"/>
          <w:shd w:val="clear" w:color="auto" w:fill="FFFFFF"/>
        </w:rPr>
        <w:t xml:space="preserve"> </w:t>
      </w:r>
    </w:p>
    <w:p w14:paraId="5993C821" w14:textId="77777777" w:rsidR="0047744D" w:rsidRPr="0047744D" w:rsidRDefault="0047744D" w:rsidP="0047744D">
      <w:pPr>
        <w:tabs>
          <w:tab w:val="clear" w:pos="9639"/>
        </w:tabs>
        <w:ind w:left="0"/>
        <w:rPr>
          <w:b/>
          <w:bCs/>
          <w:szCs w:val="22"/>
        </w:rPr>
      </w:pPr>
      <w:r w:rsidRPr="0047744D">
        <w:rPr>
          <w:b/>
          <w:bCs/>
          <w:szCs w:val="22"/>
        </w:rPr>
        <w:t>Health information sharing H3</w:t>
      </w:r>
    </w:p>
    <w:p w14:paraId="15718D9B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color w:val="231F20"/>
          <w:szCs w:val="22"/>
          <w:shd w:val="clear" w:color="auto" w:fill="FFFFFF"/>
        </w:rPr>
      </w:pPr>
      <w:r w:rsidRPr="0047744D">
        <w:rPr>
          <w:color w:val="231F20"/>
          <w:szCs w:val="22"/>
          <w:shd w:val="clear" w:color="auto" w:fill="FFFFFF"/>
        </w:rPr>
        <w:t>Integrated Care</w:t>
      </w:r>
      <w:r w:rsidRPr="0047744D">
        <w:rPr>
          <w:color w:val="231F20"/>
          <w:spacing w:val="-6"/>
          <w:szCs w:val="22"/>
          <w:shd w:val="clear" w:color="auto" w:fill="FFFFFF"/>
        </w:rPr>
        <w:t xml:space="preserve"> </w:t>
      </w:r>
      <w:r w:rsidRPr="0047744D">
        <w:rPr>
          <w:color w:val="231F20"/>
          <w:szCs w:val="22"/>
          <w:shd w:val="clear" w:color="auto" w:fill="FFFFFF"/>
        </w:rPr>
        <w:t>Platform</w:t>
      </w:r>
    </w:p>
    <w:p w14:paraId="40523133" w14:textId="77777777" w:rsidR="0047744D" w:rsidRPr="0047744D" w:rsidRDefault="0047744D" w:rsidP="0047744D">
      <w:pPr>
        <w:tabs>
          <w:tab w:val="clear" w:pos="9639"/>
        </w:tabs>
        <w:spacing w:after="140"/>
        <w:ind w:left="0"/>
        <w:outlineLvl w:val="2"/>
        <w:rPr>
          <w:rFonts w:cs="Times New Roman"/>
          <w:b/>
          <w:szCs w:val="22"/>
        </w:rPr>
      </w:pPr>
      <w:r w:rsidRPr="0047744D">
        <w:rPr>
          <w:rFonts w:cs="Times New Roman"/>
          <w:b/>
          <w:szCs w:val="22"/>
        </w:rPr>
        <w:t>Outcomes</w:t>
      </w:r>
    </w:p>
    <w:p w14:paraId="2C364CB7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93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Integrated care planning and management</w:t>
      </w:r>
      <w:r w:rsidRPr="0047744D">
        <w:rPr>
          <w:color w:val="auto"/>
          <w:spacing w:val="-14"/>
          <w:szCs w:val="22"/>
        </w:rPr>
        <w:t xml:space="preserve"> </w:t>
      </w:r>
      <w:r w:rsidRPr="0047744D">
        <w:rPr>
          <w:color w:val="auto"/>
          <w:spacing w:val="-3"/>
          <w:szCs w:val="22"/>
        </w:rPr>
        <w:t>across</w:t>
      </w:r>
      <w:r w:rsidRPr="0047744D">
        <w:rPr>
          <w:color w:val="auto"/>
          <w:spacing w:val="-13"/>
          <w:szCs w:val="22"/>
        </w:rPr>
        <w:t xml:space="preserve"> </w:t>
      </w:r>
      <w:r w:rsidRPr="0047744D">
        <w:rPr>
          <w:color w:val="auto"/>
          <w:szCs w:val="22"/>
        </w:rPr>
        <w:t>all</w:t>
      </w:r>
      <w:r w:rsidRPr="0047744D">
        <w:rPr>
          <w:color w:val="auto"/>
          <w:spacing w:val="-13"/>
          <w:szCs w:val="22"/>
        </w:rPr>
        <w:t xml:space="preserve"> </w:t>
      </w:r>
      <w:r w:rsidRPr="0047744D">
        <w:rPr>
          <w:color w:val="auto"/>
          <w:szCs w:val="22"/>
        </w:rPr>
        <w:t>care</w:t>
      </w:r>
      <w:r w:rsidRPr="0047744D">
        <w:rPr>
          <w:color w:val="auto"/>
          <w:spacing w:val="-13"/>
          <w:szCs w:val="22"/>
        </w:rPr>
        <w:t xml:space="preserve"> </w:t>
      </w:r>
      <w:r w:rsidRPr="0047744D">
        <w:rPr>
          <w:color w:val="auto"/>
          <w:szCs w:val="22"/>
        </w:rPr>
        <w:t>settings</w:t>
      </w:r>
    </w:p>
    <w:p w14:paraId="3A29E47E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80" w:after="0" w:line="240" w:lineRule="auto"/>
        <w:ind w:right="0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Effective</w:t>
      </w:r>
      <w:r w:rsidRPr="0047744D">
        <w:rPr>
          <w:color w:val="auto"/>
          <w:spacing w:val="-13"/>
          <w:szCs w:val="22"/>
        </w:rPr>
        <w:t xml:space="preserve"> </w:t>
      </w:r>
      <w:r w:rsidRPr="0047744D">
        <w:rPr>
          <w:color w:val="auto"/>
          <w:szCs w:val="22"/>
        </w:rPr>
        <w:t>consumer</w:t>
      </w:r>
      <w:r w:rsidRPr="0047744D">
        <w:rPr>
          <w:color w:val="auto"/>
          <w:spacing w:val="-13"/>
          <w:szCs w:val="22"/>
        </w:rPr>
        <w:t xml:space="preserve"> </w:t>
      </w:r>
      <w:r w:rsidRPr="0047744D">
        <w:rPr>
          <w:color w:val="auto"/>
          <w:szCs w:val="22"/>
        </w:rPr>
        <w:t>participation</w:t>
      </w:r>
      <w:r w:rsidRPr="0047744D">
        <w:rPr>
          <w:color w:val="auto"/>
          <w:spacing w:val="-13"/>
          <w:szCs w:val="22"/>
        </w:rPr>
        <w:t xml:space="preserve"> </w:t>
      </w:r>
      <w:r w:rsidRPr="0047744D">
        <w:rPr>
          <w:color w:val="auto"/>
          <w:szCs w:val="22"/>
        </w:rPr>
        <w:t>in</w:t>
      </w:r>
      <w:r w:rsidRPr="0047744D">
        <w:rPr>
          <w:color w:val="auto"/>
          <w:spacing w:val="-12"/>
          <w:szCs w:val="22"/>
        </w:rPr>
        <w:t xml:space="preserve"> </w:t>
      </w:r>
      <w:r w:rsidRPr="0047744D">
        <w:rPr>
          <w:color w:val="auto"/>
          <w:szCs w:val="22"/>
        </w:rPr>
        <w:t>care</w:t>
      </w:r>
    </w:p>
    <w:p w14:paraId="742F91B5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71" w:after="0" w:line="240" w:lineRule="auto"/>
        <w:ind w:right="0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Predictive and responsive</w:t>
      </w:r>
      <w:r w:rsidRPr="0047744D">
        <w:rPr>
          <w:color w:val="auto"/>
          <w:spacing w:val="-33"/>
          <w:szCs w:val="22"/>
        </w:rPr>
        <w:t xml:space="preserve"> </w:t>
      </w:r>
      <w:r w:rsidRPr="0047744D">
        <w:rPr>
          <w:color w:val="auto"/>
          <w:szCs w:val="22"/>
        </w:rPr>
        <w:t>services</w:t>
      </w:r>
    </w:p>
    <w:p w14:paraId="5FF5C816" w14:textId="77777777" w:rsidR="0047744D" w:rsidRPr="0047744D" w:rsidRDefault="0047744D" w:rsidP="0047744D">
      <w:pPr>
        <w:widowControl w:val="0"/>
        <w:numPr>
          <w:ilvl w:val="0"/>
          <w:numId w:val="6"/>
        </w:numPr>
        <w:tabs>
          <w:tab w:val="clear" w:pos="9639"/>
          <w:tab w:val="left" w:pos="281"/>
        </w:tabs>
        <w:autoSpaceDE w:val="0"/>
        <w:autoSpaceDN w:val="0"/>
        <w:spacing w:before="110" w:after="0" w:line="184" w:lineRule="auto"/>
        <w:ind w:right="401"/>
        <w:outlineLvl w:val="9"/>
        <w:rPr>
          <w:color w:val="auto"/>
          <w:szCs w:val="22"/>
        </w:rPr>
      </w:pPr>
      <w:r w:rsidRPr="0047744D">
        <w:rPr>
          <w:color w:val="auto"/>
          <w:szCs w:val="22"/>
        </w:rPr>
        <w:t>Advanced</w:t>
      </w:r>
      <w:r w:rsidRPr="0047744D">
        <w:rPr>
          <w:color w:val="auto"/>
          <w:spacing w:val="-21"/>
          <w:szCs w:val="22"/>
        </w:rPr>
        <w:t xml:space="preserve"> </w:t>
      </w:r>
      <w:r w:rsidRPr="0047744D">
        <w:rPr>
          <w:color w:val="auto"/>
          <w:szCs w:val="22"/>
        </w:rPr>
        <w:t>analytics</w:t>
      </w:r>
      <w:r w:rsidRPr="0047744D">
        <w:rPr>
          <w:color w:val="auto"/>
          <w:spacing w:val="-21"/>
          <w:szCs w:val="22"/>
        </w:rPr>
        <w:t xml:space="preserve"> </w:t>
      </w:r>
      <w:r w:rsidRPr="0047744D">
        <w:rPr>
          <w:color w:val="auto"/>
          <w:szCs w:val="22"/>
        </w:rPr>
        <w:t>and</w:t>
      </w:r>
      <w:r w:rsidRPr="0047744D">
        <w:rPr>
          <w:color w:val="auto"/>
          <w:spacing w:val="-21"/>
          <w:szCs w:val="22"/>
        </w:rPr>
        <w:t xml:space="preserve"> </w:t>
      </w:r>
      <w:r w:rsidRPr="0047744D">
        <w:rPr>
          <w:color w:val="auto"/>
          <w:szCs w:val="22"/>
        </w:rPr>
        <w:t>personalised/ precision</w:t>
      </w:r>
      <w:r w:rsidRPr="0047744D">
        <w:rPr>
          <w:color w:val="auto"/>
          <w:spacing w:val="-9"/>
          <w:szCs w:val="22"/>
        </w:rPr>
        <w:t xml:space="preserve"> </w:t>
      </w:r>
      <w:r w:rsidRPr="0047744D">
        <w:rPr>
          <w:color w:val="auto"/>
          <w:szCs w:val="22"/>
        </w:rPr>
        <w:t>medicine</w:t>
      </w:r>
    </w:p>
    <w:p w14:paraId="7309CD3B" w14:textId="77777777" w:rsidR="0047744D" w:rsidRPr="0047744D" w:rsidRDefault="0047744D" w:rsidP="0047744D">
      <w:pPr>
        <w:tabs>
          <w:tab w:val="clear" w:pos="9639"/>
          <w:tab w:val="left" w:pos="10348"/>
        </w:tabs>
        <w:ind w:left="0"/>
        <w:rPr>
          <w:b/>
          <w:bCs/>
          <w:color w:val="auto"/>
          <w:szCs w:val="22"/>
        </w:rPr>
      </w:pPr>
    </w:p>
    <w:p w14:paraId="698B63E6" w14:textId="77777777" w:rsidR="00133BBA" w:rsidRDefault="00111A30" w:rsidP="0047744D">
      <w:pPr>
        <w:tabs>
          <w:tab w:val="clear" w:pos="9639"/>
          <w:tab w:val="left" w:pos="10348"/>
        </w:tabs>
        <w:ind w:left="0" w:right="0"/>
      </w:pPr>
    </w:p>
    <w:sectPr w:rsidR="00133BBA" w:rsidSect="00DC3F6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189E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1D24FD"/>
    <w:multiLevelType w:val="hybridMultilevel"/>
    <w:tmpl w:val="63BC98F0"/>
    <w:lvl w:ilvl="0" w:tplc="8280DD68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F1D"/>
    <w:multiLevelType w:val="hybridMultilevel"/>
    <w:tmpl w:val="F0244AD2"/>
    <w:lvl w:ilvl="0" w:tplc="ADF64D42">
      <w:start w:val="1"/>
      <w:numFmt w:val="bullet"/>
      <w:pStyle w:val="ListParagraph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TQxNbYwNAKyLJR0lIJTi4sz8/NACgxrAZ70ihssAAAA"/>
  </w:docVars>
  <w:rsids>
    <w:rsidRoot w:val="0047744D"/>
    <w:rsid w:val="00111A30"/>
    <w:rsid w:val="002A3002"/>
    <w:rsid w:val="0044329C"/>
    <w:rsid w:val="0047744D"/>
    <w:rsid w:val="005B3A3D"/>
    <w:rsid w:val="009A7504"/>
    <w:rsid w:val="00B356D0"/>
    <w:rsid w:val="00C930B2"/>
    <w:rsid w:val="00DB1060"/>
    <w:rsid w:val="00DF5D05"/>
    <w:rsid w:val="00E657D0"/>
    <w:rsid w:val="00EF445F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AC84"/>
  <w15:chartTrackingRefBased/>
  <w15:docId w15:val="{FBA18127-79EC-45DC-BAC0-BF44CC44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B2"/>
    <w:pPr>
      <w:tabs>
        <w:tab w:val="left" w:pos="9639"/>
      </w:tabs>
      <w:spacing w:before="120" w:after="120" w:line="300" w:lineRule="atLeast"/>
      <w:ind w:left="-680" w:right="-680"/>
      <w:outlineLvl w:val="1"/>
    </w:pPr>
    <w:rPr>
      <w:rFonts w:ascii="Arial" w:hAnsi="Arial" w:cs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B2"/>
    <w:pPr>
      <w:spacing w:before="240" w:after="60"/>
      <w:ind w:left="-624"/>
      <w:outlineLvl w:val="0"/>
    </w:pPr>
    <w:rPr>
      <w:b/>
      <w:color w:val="005A96"/>
      <w:spacing w:val="-10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0B2"/>
    <w:pPr>
      <w:tabs>
        <w:tab w:val="left" w:pos="9923"/>
      </w:tabs>
      <w:spacing w:before="240" w:after="60"/>
      <w:ind w:left="-624"/>
    </w:pPr>
    <w:rPr>
      <w:b/>
      <w:color w:val="005A96"/>
      <w:spacing w:val="-1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0B2"/>
    <w:pPr>
      <w:spacing w:after="140"/>
      <w:ind w:left="-567"/>
      <w:outlineLvl w:val="2"/>
    </w:pPr>
    <w:rPr>
      <w:rFonts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0B2"/>
    <w:rPr>
      <w:rFonts w:ascii="Arial" w:hAnsi="Arial" w:cs="Arial"/>
      <w:b/>
      <w:color w:val="005A96"/>
      <w:spacing w:val="-10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57D0"/>
  </w:style>
  <w:style w:type="character" w:customStyle="1" w:styleId="BodyTextChar">
    <w:name w:val="Body Text Char"/>
    <w:basedOn w:val="DefaultParagraphFont"/>
    <w:link w:val="BodyText"/>
    <w:uiPriority w:val="99"/>
    <w:semiHidden/>
    <w:rsid w:val="00E657D0"/>
  </w:style>
  <w:style w:type="paragraph" w:styleId="BlockText">
    <w:name w:val="Block Text"/>
    <w:basedOn w:val="BodyText"/>
    <w:next w:val="BodyText"/>
    <w:uiPriority w:val="9"/>
    <w:unhideWhenUsed/>
    <w:qFormat/>
    <w:rsid w:val="00DB1060"/>
    <w:pPr>
      <w:ind w:left="102" w:right="102"/>
    </w:pPr>
    <w:rPr>
      <w:rFonts w:eastAsiaTheme="majorEastAsia" w:cstheme="majorBidi"/>
      <w:bCs/>
      <w:color w:val="00000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30B2"/>
    <w:rPr>
      <w:rFonts w:ascii="Arial" w:hAnsi="Arial" w:cs="Times New Roman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930B2"/>
    <w:pPr>
      <w:numPr>
        <w:numId w:val="5"/>
      </w:numPr>
      <w:spacing w:before="240"/>
    </w:pPr>
    <w:rPr>
      <w:sz w:val="24"/>
    </w:rPr>
  </w:style>
  <w:style w:type="paragraph" w:styleId="ListBullet">
    <w:name w:val="List Bullet"/>
    <w:basedOn w:val="Normal"/>
    <w:uiPriority w:val="99"/>
    <w:semiHidden/>
    <w:unhideWhenUsed/>
    <w:rsid w:val="00DB1060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1060"/>
    <w:pPr>
      <w:spacing w:before="200" w:after="160"/>
      <w:ind w:left="864" w:right="864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B1060"/>
    <w:rPr>
      <w:rFonts w:ascii="Arial" w:hAnsi="Arial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DB1060"/>
    <w:rPr>
      <w:rFonts w:ascii="Arial" w:hAnsi="Arial"/>
      <w:b w:val="0"/>
      <w:bCs/>
      <w:sz w:val="20"/>
    </w:rPr>
  </w:style>
  <w:style w:type="character" w:styleId="IntenseEmphasis">
    <w:name w:val="Intense Emphasis"/>
    <w:basedOn w:val="DefaultParagraphFont"/>
    <w:uiPriority w:val="21"/>
    <w:qFormat/>
    <w:rsid w:val="002A3002"/>
    <w:rPr>
      <w:rFonts w:ascii="Arial" w:hAnsi="Arial"/>
      <w:i/>
      <w:iCs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329C"/>
    <w:pP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29C"/>
    <w:rPr>
      <w:rFonts w:ascii="Arial" w:eastAsiaTheme="majorEastAsia" w:hAnsi="Arial" w:cstheme="majorBidi"/>
      <w:b/>
      <w:noProof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0B2"/>
    <w:rPr>
      <w:rFonts w:ascii="Arial" w:hAnsi="Arial" w:cs="Arial"/>
      <w:b/>
      <w:color w:val="005A96"/>
      <w:spacing w:val="-10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Georgina</dc:creator>
  <cp:keywords/>
  <dc:description/>
  <cp:lastModifiedBy>Downey, Georgina</cp:lastModifiedBy>
  <cp:revision>2</cp:revision>
  <dcterms:created xsi:type="dcterms:W3CDTF">2022-05-24T04:50:00Z</dcterms:created>
  <dcterms:modified xsi:type="dcterms:W3CDTF">2022-05-24T05:01:00Z</dcterms:modified>
</cp:coreProperties>
</file>