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6E64" w14:textId="77777777" w:rsidR="00C94B6A" w:rsidRPr="0069508F" w:rsidRDefault="00C94B6A" w:rsidP="00A77A21">
      <w:pPr>
        <w:pStyle w:val="MainHeading"/>
        <w:rPr>
          <w:sz w:val="240"/>
          <w:szCs w:val="240"/>
        </w:rPr>
      </w:pPr>
    </w:p>
    <w:p w14:paraId="3E25A2CD" w14:textId="27E0F583" w:rsidR="002A7DAE" w:rsidRPr="0069508F" w:rsidRDefault="006D7254" w:rsidP="0069508F">
      <w:pPr>
        <w:pStyle w:val="MainHeading"/>
        <w:ind w:left="0"/>
      </w:pPr>
      <w:bookmarkStart w:id="0" w:name="_Toc99722086"/>
      <w:bookmarkStart w:id="1" w:name="_Toc99722370"/>
      <w:bookmarkStart w:id="2" w:name="_Toc99722452"/>
      <w:r w:rsidRPr="0069508F">
        <w:t xml:space="preserve">Radiation Protection: Personal monitoring programs in Tasmania </w:t>
      </w:r>
      <w:bookmarkEnd w:id="0"/>
      <w:bookmarkEnd w:id="1"/>
      <w:bookmarkEnd w:id="2"/>
      <w:r w:rsidR="00E5228D">
        <w:t>guidelines</w:t>
      </w:r>
    </w:p>
    <w:p w14:paraId="6B041E0C" w14:textId="77777777" w:rsidR="006D7254" w:rsidRPr="0069508F" w:rsidRDefault="006D7254" w:rsidP="006D7254"/>
    <w:p w14:paraId="3BC4357E" w14:textId="77777777" w:rsidR="006D7254" w:rsidRPr="0069508F" w:rsidRDefault="006D7254" w:rsidP="007E5AE0">
      <w:r w:rsidRPr="0069508F">
        <w:t>First published – July 2011</w:t>
      </w:r>
    </w:p>
    <w:p w14:paraId="7144EF0C" w14:textId="77777777" w:rsidR="006D7254" w:rsidRPr="0069508F" w:rsidRDefault="006D7254" w:rsidP="007E5AE0">
      <w:r w:rsidRPr="0069508F">
        <w:t>Reviewed – March 2022</w:t>
      </w:r>
    </w:p>
    <w:p w14:paraId="243E49A0" w14:textId="74EBEC7D" w:rsidR="002A7DAE" w:rsidRPr="0069508F" w:rsidRDefault="006D7254" w:rsidP="007E5AE0">
      <w:pPr>
        <w:sectPr w:rsidR="002A7DAE" w:rsidRPr="0069508F" w:rsidSect="00B84E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sidRPr="0069508F">
        <w:t>Next Review – March 20</w:t>
      </w:r>
      <w:r w:rsidR="00E80CA7">
        <w:t>24</w:t>
      </w:r>
    </w:p>
    <w:sdt>
      <w:sdtPr>
        <w:rPr>
          <w:rFonts w:ascii="Gill Sans MT" w:eastAsiaTheme="minorHAnsi" w:hAnsi="Gill Sans MT" w:cstheme="minorBidi"/>
          <w:color w:val="auto"/>
          <w:sz w:val="22"/>
          <w:szCs w:val="22"/>
        </w:rPr>
        <w:id w:val="262196122"/>
        <w:docPartObj>
          <w:docPartGallery w:val="Table of Contents"/>
          <w:docPartUnique/>
        </w:docPartObj>
      </w:sdtPr>
      <w:sdtEndPr>
        <w:rPr>
          <w:b/>
          <w:bCs/>
          <w:noProof/>
        </w:rPr>
      </w:sdtEndPr>
      <w:sdtContent>
        <w:p w14:paraId="65D30034" w14:textId="02FEE62A" w:rsidR="00835AED" w:rsidRPr="0069508F" w:rsidRDefault="00835AED">
          <w:pPr>
            <w:pStyle w:val="TOCHeading"/>
            <w:rPr>
              <w:rFonts w:ascii="Gill Sans MT" w:hAnsi="Gill Sans MT"/>
            </w:rPr>
          </w:pPr>
          <w:r w:rsidRPr="0069508F">
            <w:rPr>
              <w:rFonts w:ascii="Gill Sans MT" w:hAnsi="Gill Sans MT"/>
            </w:rPr>
            <w:t>Contents</w:t>
          </w:r>
        </w:p>
        <w:p w14:paraId="034C947F" w14:textId="49A3B68F" w:rsidR="000D5D58" w:rsidRPr="000D5D58" w:rsidRDefault="000D5D58">
          <w:pPr>
            <w:pStyle w:val="TOC1"/>
            <w:tabs>
              <w:tab w:val="right" w:leader="dot" w:pos="8630"/>
            </w:tabs>
            <w:rPr>
              <w:rFonts w:eastAsiaTheme="minorEastAsia" w:cstheme="minorBidi"/>
              <w:b w:val="0"/>
              <w:noProof/>
              <w:sz w:val="22"/>
              <w:szCs w:val="22"/>
              <w:lang w:val="en-AU" w:eastAsia="en-AU"/>
            </w:rPr>
          </w:pPr>
          <w:r w:rsidRPr="000D5D58">
            <w:rPr>
              <w:bCs/>
              <w:color w:val="005395"/>
            </w:rPr>
            <w:fldChar w:fldCharType="begin"/>
          </w:r>
          <w:r w:rsidRPr="000D5D58">
            <w:rPr>
              <w:bCs/>
              <w:color w:val="005395"/>
            </w:rPr>
            <w:instrText xml:space="preserve"> TOC \o "2-4" \t "Heading 1,1" </w:instrText>
          </w:r>
          <w:r w:rsidRPr="000D5D58">
            <w:rPr>
              <w:bCs/>
              <w:color w:val="005395"/>
            </w:rPr>
            <w:fldChar w:fldCharType="separate"/>
          </w:r>
          <w:r w:rsidRPr="000D5D58">
            <w:rPr>
              <w:noProof/>
            </w:rPr>
            <w:t>Guidance for particular situations</w:t>
          </w:r>
          <w:r w:rsidRPr="000D5D58">
            <w:rPr>
              <w:noProof/>
            </w:rPr>
            <w:tab/>
          </w:r>
          <w:r w:rsidRPr="000D5D58">
            <w:rPr>
              <w:noProof/>
            </w:rPr>
            <w:fldChar w:fldCharType="begin"/>
          </w:r>
          <w:r w:rsidRPr="000D5D58">
            <w:rPr>
              <w:noProof/>
            </w:rPr>
            <w:instrText xml:space="preserve"> PAGEREF _Toc99723474 \h </w:instrText>
          </w:r>
          <w:r w:rsidRPr="000D5D58">
            <w:rPr>
              <w:noProof/>
            </w:rPr>
          </w:r>
          <w:r w:rsidRPr="000D5D58">
            <w:rPr>
              <w:noProof/>
            </w:rPr>
            <w:fldChar w:fldCharType="separate"/>
          </w:r>
          <w:r w:rsidR="00A2286E">
            <w:rPr>
              <w:noProof/>
            </w:rPr>
            <w:t>4</w:t>
          </w:r>
          <w:r w:rsidRPr="000D5D58">
            <w:rPr>
              <w:noProof/>
            </w:rPr>
            <w:fldChar w:fldCharType="end"/>
          </w:r>
        </w:p>
        <w:p w14:paraId="2BE96F94" w14:textId="0949C2F1" w:rsidR="000D5D58" w:rsidRPr="000D5D58" w:rsidRDefault="000D5D58">
          <w:pPr>
            <w:pStyle w:val="TOC2"/>
            <w:tabs>
              <w:tab w:val="right" w:leader="dot" w:pos="8630"/>
            </w:tabs>
            <w:rPr>
              <w:rFonts w:ascii="Gill Sans MT" w:eastAsiaTheme="minorEastAsia" w:hAnsi="Gill Sans MT" w:cstheme="minorBidi"/>
              <w:smallCaps w:val="0"/>
              <w:noProof/>
              <w:sz w:val="22"/>
              <w:szCs w:val="22"/>
              <w:lang w:val="en-AU" w:eastAsia="en-AU"/>
            </w:rPr>
          </w:pPr>
          <w:r w:rsidRPr="000D5D58">
            <w:rPr>
              <w:rFonts w:ascii="Gill Sans MT" w:hAnsi="Gill Sans MT"/>
              <w:smallCaps w:val="0"/>
              <w:noProof/>
            </w:rPr>
            <w:t>Monitoring of part-time/casual employees</w:t>
          </w:r>
          <w:r w:rsidRPr="000D5D58">
            <w:rPr>
              <w:rFonts w:ascii="Gill Sans MT" w:hAnsi="Gill Sans MT"/>
              <w:smallCaps w:val="0"/>
              <w:noProof/>
            </w:rPr>
            <w:tab/>
          </w:r>
          <w:r w:rsidRPr="000D5D58">
            <w:rPr>
              <w:rFonts w:ascii="Gill Sans MT" w:hAnsi="Gill Sans MT"/>
              <w:smallCaps w:val="0"/>
              <w:noProof/>
            </w:rPr>
            <w:fldChar w:fldCharType="begin"/>
          </w:r>
          <w:r w:rsidRPr="000D5D58">
            <w:rPr>
              <w:rFonts w:ascii="Gill Sans MT" w:hAnsi="Gill Sans MT"/>
              <w:smallCaps w:val="0"/>
              <w:noProof/>
            </w:rPr>
            <w:instrText xml:space="preserve"> PAGEREF _Toc99723475 \h </w:instrText>
          </w:r>
          <w:r w:rsidRPr="000D5D58">
            <w:rPr>
              <w:rFonts w:ascii="Gill Sans MT" w:hAnsi="Gill Sans MT"/>
              <w:smallCaps w:val="0"/>
              <w:noProof/>
            </w:rPr>
          </w:r>
          <w:r w:rsidRPr="000D5D58">
            <w:rPr>
              <w:rFonts w:ascii="Gill Sans MT" w:hAnsi="Gill Sans MT"/>
              <w:smallCaps w:val="0"/>
              <w:noProof/>
            </w:rPr>
            <w:fldChar w:fldCharType="separate"/>
          </w:r>
          <w:r w:rsidR="00A2286E">
            <w:rPr>
              <w:rFonts w:ascii="Gill Sans MT" w:hAnsi="Gill Sans MT"/>
              <w:smallCaps w:val="0"/>
              <w:noProof/>
            </w:rPr>
            <w:t>4</w:t>
          </w:r>
          <w:r w:rsidRPr="000D5D58">
            <w:rPr>
              <w:rFonts w:ascii="Gill Sans MT" w:hAnsi="Gill Sans MT"/>
              <w:smallCaps w:val="0"/>
              <w:noProof/>
            </w:rPr>
            <w:fldChar w:fldCharType="end"/>
          </w:r>
        </w:p>
        <w:p w14:paraId="356A5763" w14:textId="38DBF2BD" w:rsidR="000D5D58" w:rsidRPr="000D5D58" w:rsidRDefault="000D5D58">
          <w:pPr>
            <w:pStyle w:val="TOC2"/>
            <w:tabs>
              <w:tab w:val="right" w:leader="dot" w:pos="8630"/>
            </w:tabs>
            <w:rPr>
              <w:rFonts w:ascii="Gill Sans MT" w:eastAsiaTheme="minorEastAsia" w:hAnsi="Gill Sans MT" w:cstheme="minorBidi"/>
              <w:smallCaps w:val="0"/>
              <w:noProof/>
              <w:sz w:val="22"/>
              <w:szCs w:val="22"/>
              <w:lang w:val="en-AU" w:eastAsia="en-AU"/>
            </w:rPr>
          </w:pPr>
          <w:r w:rsidRPr="000D5D58">
            <w:rPr>
              <w:rFonts w:ascii="Gill Sans MT" w:hAnsi="Gill Sans MT"/>
              <w:smallCaps w:val="0"/>
              <w:noProof/>
            </w:rPr>
            <w:t>Monitoring of pregnant staff</w:t>
          </w:r>
          <w:r w:rsidRPr="000D5D58">
            <w:rPr>
              <w:rFonts w:ascii="Gill Sans MT" w:hAnsi="Gill Sans MT"/>
              <w:smallCaps w:val="0"/>
              <w:noProof/>
            </w:rPr>
            <w:tab/>
          </w:r>
          <w:r w:rsidRPr="000D5D58">
            <w:rPr>
              <w:rFonts w:ascii="Gill Sans MT" w:hAnsi="Gill Sans MT"/>
              <w:smallCaps w:val="0"/>
              <w:noProof/>
            </w:rPr>
            <w:fldChar w:fldCharType="begin"/>
          </w:r>
          <w:r w:rsidRPr="000D5D58">
            <w:rPr>
              <w:rFonts w:ascii="Gill Sans MT" w:hAnsi="Gill Sans MT"/>
              <w:smallCaps w:val="0"/>
              <w:noProof/>
            </w:rPr>
            <w:instrText xml:space="preserve"> PAGEREF _Toc99723476 \h </w:instrText>
          </w:r>
          <w:r w:rsidRPr="000D5D58">
            <w:rPr>
              <w:rFonts w:ascii="Gill Sans MT" w:hAnsi="Gill Sans MT"/>
              <w:smallCaps w:val="0"/>
              <w:noProof/>
            </w:rPr>
          </w:r>
          <w:r w:rsidRPr="000D5D58">
            <w:rPr>
              <w:rFonts w:ascii="Gill Sans MT" w:hAnsi="Gill Sans MT"/>
              <w:smallCaps w:val="0"/>
              <w:noProof/>
            </w:rPr>
            <w:fldChar w:fldCharType="separate"/>
          </w:r>
          <w:r w:rsidR="00A2286E">
            <w:rPr>
              <w:rFonts w:ascii="Gill Sans MT" w:hAnsi="Gill Sans MT"/>
              <w:smallCaps w:val="0"/>
              <w:noProof/>
            </w:rPr>
            <w:t>4</w:t>
          </w:r>
          <w:r w:rsidRPr="000D5D58">
            <w:rPr>
              <w:rFonts w:ascii="Gill Sans MT" w:hAnsi="Gill Sans MT"/>
              <w:smallCaps w:val="0"/>
              <w:noProof/>
            </w:rPr>
            <w:fldChar w:fldCharType="end"/>
          </w:r>
        </w:p>
        <w:p w14:paraId="4BA73A8B" w14:textId="2BA16B08" w:rsidR="000D5D58" w:rsidRPr="000D5D58" w:rsidRDefault="000D5D58">
          <w:pPr>
            <w:pStyle w:val="TOC2"/>
            <w:tabs>
              <w:tab w:val="right" w:leader="dot" w:pos="8630"/>
            </w:tabs>
            <w:rPr>
              <w:rFonts w:ascii="Gill Sans MT" w:eastAsiaTheme="minorEastAsia" w:hAnsi="Gill Sans MT" w:cstheme="minorBidi"/>
              <w:smallCaps w:val="0"/>
              <w:noProof/>
              <w:sz w:val="22"/>
              <w:szCs w:val="22"/>
              <w:lang w:val="en-AU" w:eastAsia="en-AU"/>
            </w:rPr>
          </w:pPr>
          <w:r w:rsidRPr="000D5D58">
            <w:rPr>
              <w:rFonts w:ascii="Gill Sans MT" w:hAnsi="Gill Sans MT"/>
              <w:smallCaps w:val="0"/>
              <w:noProof/>
            </w:rPr>
            <w:t>People requiring personal monitoring</w:t>
          </w:r>
          <w:r w:rsidRPr="000D5D58">
            <w:rPr>
              <w:rFonts w:ascii="Gill Sans MT" w:hAnsi="Gill Sans MT"/>
              <w:smallCaps w:val="0"/>
              <w:noProof/>
            </w:rPr>
            <w:tab/>
          </w:r>
          <w:r w:rsidRPr="000D5D58">
            <w:rPr>
              <w:rFonts w:ascii="Gill Sans MT" w:hAnsi="Gill Sans MT"/>
              <w:smallCaps w:val="0"/>
              <w:noProof/>
            </w:rPr>
            <w:fldChar w:fldCharType="begin"/>
          </w:r>
          <w:r w:rsidRPr="000D5D58">
            <w:rPr>
              <w:rFonts w:ascii="Gill Sans MT" w:hAnsi="Gill Sans MT"/>
              <w:smallCaps w:val="0"/>
              <w:noProof/>
            </w:rPr>
            <w:instrText xml:space="preserve"> PAGEREF _Toc99723477 \h </w:instrText>
          </w:r>
          <w:r w:rsidRPr="000D5D58">
            <w:rPr>
              <w:rFonts w:ascii="Gill Sans MT" w:hAnsi="Gill Sans MT"/>
              <w:smallCaps w:val="0"/>
              <w:noProof/>
            </w:rPr>
          </w:r>
          <w:r w:rsidRPr="000D5D58">
            <w:rPr>
              <w:rFonts w:ascii="Gill Sans MT" w:hAnsi="Gill Sans MT"/>
              <w:smallCaps w:val="0"/>
              <w:noProof/>
            </w:rPr>
            <w:fldChar w:fldCharType="separate"/>
          </w:r>
          <w:r w:rsidR="00A2286E">
            <w:rPr>
              <w:rFonts w:ascii="Gill Sans MT" w:hAnsi="Gill Sans MT"/>
              <w:smallCaps w:val="0"/>
              <w:noProof/>
            </w:rPr>
            <w:t>4</w:t>
          </w:r>
          <w:r w:rsidRPr="000D5D58">
            <w:rPr>
              <w:rFonts w:ascii="Gill Sans MT" w:hAnsi="Gill Sans MT"/>
              <w:smallCaps w:val="0"/>
              <w:noProof/>
            </w:rPr>
            <w:fldChar w:fldCharType="end"/>
          </w:r>
        </w:p>
        <w:p w14:paraId="697DCE92" w14:textId="484C0A1C" w:rsidR="000D5D58" w:rsidRPr="000D5D58" w:rsidRDefault="000D5D58">
          <w:pPr>
            <w:pStyle w:val="TOC2"/>
            <w:tabs>
              <w:tab w:val="right" w:leader="dot" w:pos="8630"/>
            </w:tabs>
            <w:rPr>
              <w:rFonts w:ascii="Gill Sans MT" w:eastAsiaTheme="minorEastAsia" w:hAnsi="Gill Sans MT" w:cstheme="minorBidi"/>
              <w:smallCaps w:val="0"/>
              <w:noProof/>
              <w:sz w:val="22"/>
              <w:szCs w:val="22"/>
              <w:lang w:val="en-AU" w:eastAsia="en-AU"/>
            </w:rPr>
          </w:pPr>
          <w:r w:rsidRPr="000D5D58">
            <w:rPr>
              <w:rFonts w:ascii="Gill Sans MT" w:hAnsi="Gill Sans MT"/>
              <w:smallCaps w:val="0"/>
              <w:noProof/>
            </w:rPr>
            <w:t>Monitoring of extremities</w:t>
          </w:r>
          <w:r w:rsidRPr="000D5D58">
            <w:rPr>
              <w:rFonts w:ascii="Gill Sans MT" w:hAnsi="Gill Sans MT"/>
              <w:smallCaps w:val="0"/>
              <w:noProof/>
            </w:rPr>
            <w:tab/>
          </w:r>
          <w:r w:rsidRPr="000D5D58">
            <w:rPr>
              <w:rFonts w:ascii="Gill Sans MT" w:hAnsi="Gill Sans MT"/>
              <w:smallCaps w:val="0"/>
              <w:noProof/>
            </w:rPr>
            <w:fldChar w:fldCharType="begin"/>
          </w:r>
          <w:r w:rsidRPr="000D5D58">
            <w:rPr>
              <w:rFonts w:ascii="Gill Sans MT" w:hAnsi="Gill Sans MT"/>
              <w:smallCaps w:val="0"/>
              <w:noProof/>
            </w:rPr>
            <w:instrText xml:space="preserve"> PAGEREF _Toc99723478 \h </w:instrText>
          </w:r>
          <w:r w:rsidRPr="000D5D58">
            <w:rPr>
              <w:rFonts w:ascii="Gill Sans MT" w:hAnsi="Gill Sans MT"/>
              <w:smallCaps w:val="0"/>
              <w:noProof/>
            </w:rPr>
          </w:r>
          <w:r w:rsidRPr="000D5D58">
            <w:rPr>
              <w:rFonts w:ascii="Gill Sans MT" w:hAnsi="Gill Sans MT"/>
              <w:smallCaps w:val="0"/>
              <w:noProof/>
            </w:rPr>
            <w:fldChar w:fldCharType="separate"/>
          </w:r>
          <w:r w:rsidR="00A2286E">
            <w:rPr>
              <w:rFonts w:ascii="Gill Sans MT" w:hAnsi="Gill Sans MT"/>
              <w:smallCaps w:val="0"/>
              <w:noProof/>
            </w:rPr>
            <w:t>4</w:t>
          </w:r>
          <w:r w:rsidRPr="000D5D58">
            <w:rPr>
              <w:rFonts w:ascii="Gill Sans MT" w:hAnsi="Gill Sans MT"/>
              <w:smallCaps w:val="0"/>
              <w:noProof/>
            </w:rPr>
            <w:fldChar w:fldCharType="end"/>
          </w:r>
        </w:p>
        <w:p w14:paraId="1A6A9C58" w14:textId="556177A8" w:rsidR="000D5D58" w:rsidRPr="000D5D58" w:rsidRDefault="000D5D58">
          <w:pPr>
            <w:pStyle w:val="TOC2"/>
            <w:tabs>
              <w:tab w:val="right" w:leader="dot" w:pos="8630"/>
            </w:tabs>
            <w:rPr>
              <w:rFonts w:ascii="Gill Sans MT" w:eastAsiaTheme="minorEastAsia" w:hAnsi="Gill Sans MT" w:cstheme="minorBidi"/>
              <w:smallCaps w:val="0"/>
              <w:noProof/>
              <w:sz w:val="22"/>
              <w:szCs w:val="22"/>
              <w:lang w:val="en-AU" w:eastAsia="en-AU"/>
            </w:rPr>
          </w:pPr>
          <w:r w:rsidRPr="000D5D58">
            <w:rPr>
              <w:rFonts w:ascii="Gill Sans MT" w:hAnsi="Gill Sans MT"/>
              <w:smallCaps w:val="0"/>
              <w:noProof/>
            </w:rPr>
            <w:t>Wearing location for monitors</w:t>
          </w:r>
          <w:r w:rsidRPr="000D5D58">
            <w:rPr>
              <w:rFonts w:ascii="Gill Sans MT" w:hAnsi="Gill Sans MT"/>
              <w:smallCaps w:val="0"/>
              <w:noProof/>
            </w:rPr>
            <w:tab/>
          </w:r>
          <w:r w:rsidRPr="000D5D58">
            <w:rPr>
              <w:rFonts w:ascii="Gill Sans MT" w:hAnsi="Gill Sans MT"/>
              <w:smallCaps w:val="0"/>
              <w:noProof/>
            </w:rPr>
            <w:fldChar w:fldCharType="begin"/>
          </w:r>
          <w:r w:rsidRPr="000D5D58">
            <w:rPr>
              <w:rFonts w:ascii="Gill Sans MT" w:hAnsi="Gill Sans MT"/>
              <w:smallCaps w:val="0"/>
              <w:noProof/>
            </w:rPr>
            <w:instrText xml:space="preserve"> PAGEREF _Toc99723479 \h </w:instrText>
          </w:r>
          <w:r w:rsidRPr="000D5D58">
            <w:rPr>
              <w:rFonts w:ascii="Gill Sans MT" w:hAnsi="Gill Sans MT"/>
              <w:smallCaps w:val="0"/>
              <w:noProof/>
            </w:rPr>
          </w:r>
          <w:r w:rsidRPr="000D5D58">
            <w:rPr>
              <w:rFonts w:ascii="Gill Sans MT" w:hAnsi="Gill Sans MT"/>
              <w:smallCaps w:val="0"/>
              <w:noProof/>
            </w:rPr>
            <w:fldChar w:fldCharType="separate"/>
          </w:r>
          <w:r w:rsidR="00A2286E">
            <w:rPr>
              <w:rFonts w:ascii="Gill Sans MT" w:hAnsi="Gill Sans MT"/>
              <w:smallCaps w:val="0"/>
              <w:noProof/>
            </w:rPr>
            <w:t>5</w:t>
          </w:r>
          <w:r w:rsidRPr="000D5D58">
            <w:rPr>
              <w:rFonts w:ascii="Gill Sans MT" w:hAnsi="Gill Sans MT"/>
              <w:smallCaps w:val="0"/>
              <w:noProof/>
            </w:rPr>
            <w:fldChar w:fldCharType="end"/>
          </w:r>
        </w:p>
        <w:p w14:paraId="06FCA5A1" w14:textId="669F7E86" w:rsidR="000D5D58" w:rsidRPr="000D5D58" w:rsidRDefault="000D5D58">
          <w:pPr>
            <w:pStyle w:val="TOC2"/>
            <w:tabs>
              <w:tab w:val="right" w:leader="dot" w:pos="8630"/>
            </w:tabs>
            <w:rPr>
              <w:rFonts w:ascii="Gill Sans MT" w:eastAsiaTheme="minorEastAsia" w:hAnsi="Gill Sans MT" w:cstheme="minorBidi"/>
              <w:smallCaps w:val="0"/>
              <w:noProof/>
              <w:sz w:val="22"/>
              <w:szCs w:val="22"/>
              <w:lang w:val="en-AU" w:eastAsia="en-AU"/>
            </w:rPr>
          </w:pPr>
          <w:r w:rsidRPr="000D5D58">
            <w:rPr>
              <w:rFonts w:ascii="Gill Sans MT" w:hAnsi="Gill Sans MT"/>
              <w:smallCaps w:val="0"/>
              <w:noProof/>
            </w:rPr>
            <w:t>People working at more than one location</w:t>
          </w:r>
          <w:r w:rsidRPr="000D5D58">
            <w:rPr>
              <w:rFonts w:ascii="Gill Sans MT" w:hAnsi="Gill Sans MT"/>
              <w:smallCaps w:val="0"/>
              <w:noProof/>
            </w:rPr>
            <w:tab/>
          </w:r>
          <w:r w:rsidRPr="000D5D58">
            <w:rPr>
              <w:rFonts w:ascii="Gill Sans MT" w:hAnsi="Gill Sans MT"/>
              <w:smallCaps w:val="0"/>
              <w:noProof/>
            </w:rPr>
            <w:fldChar w:fldCharType="begin"/>
          </w:r>
          <w:r w:rsidRPr="000D5D58">
            <w:rPr>
              <w:rFonts w:ascii="Gill Sans MT" w:hAnsi="Gill Sans MT"/>
              <w:smallCaps w:val="0"/>
              <w:noProof/>
            </w:rPr>
            <w:instrText xml:space="preserve"> PAGEREF _Toc99723480 \h </w:instrText>
          </w:r>
          <w:r w:rsidRPr="000D5D58">
            <w:rPr>
              <w:rFonts w:ascii="Gill Sans MT" w:hAnsi="Gill Sans MT"/>
              <w:smallCaps w:val="0"/>
              <w:noProof/>
            </w:rPr>
          </w:r>
          <w:r w:rsidRPr="000D5D58">
            <w:rPr>
              <w:rFonts w:ascii="Gill Sans MT" w:hAnsi="Gill Sans MT"/>
              <w:smallCaps w:val="0"/>
              <w:noProof/>
            </w:rPr>
            <w:fldChar w:fldCharType="separate"/>
          </w:r>
          <w:r w:rsidR="00A2286E">
            <w:rPr>
              <w:rFonts w:ascii="Gill Sans MT" w:hAnsi="Gill Sans MT"/>
              <w:smallCaps w:val="0"/>
              <w:noProof/>
            </w:rPr>
            <w:t>5</w:t>
          </w:r>
          <w:r w:rsidRPr="000D5D58">
            <w:rPr>
              <w:rFonts w:ascii="Gill Sans MT" w:hAnsi="Gill Sans MT"/>
              <w:smallCaps w:val="0"/>
              <w:noProof/>
            </w:rPr>
            <w:fldChar w:fldCharType="end"/>
          </w:r>
        </w:p>
        <w:p w14:paraId="256AB3CF" w14:textId="3123878A" w:rsidR="000D5D58" w:rsidRPr="000D5D58" w:rsidRDefault="000D5D58">
          <w:pPr>
            <w:pStyle w:val="TOC2"/>
            <w:tabs>
              <w:tab w:val="right" w:leader="dot" w:pos="8630"/>
            </w:tabs>
            <w:rPr>
              <w:rFonts w:ascii="Gill Sans MT" w:eastAsiaTheme="minorEastAsia" w:hAnsi="Gill Sans MT" w:cstheme="minorBidi"/>
              <w:smallCaps w:val="0"/>
              <w:noProof/>
              <w:sz w:val="22"/>
              <w:szCs w:val="22"/>
              <w:lang w:val="en-AU" w:eastAsia="en-AU"/>
            </w:rPr>
          </w:pPr>
          <w:r w:rsidRPr="000D5D58">
            <w:rPr>
              <w:rFonts w:ascii="Gill Sans MT" w:hAnsi="Gill Sans MT"/>
              <w:smallCaps w:val="0"/>
              <w:noProof/>
            </w:rPr>
            <w:t>Neutron monitoring</w:t>
          </w:r>
          <w:r w:rsidRPr="000D5D58">
            <w:rPr>
              <w:rFonts w:ascii="Gill Sans MT" w:hAnsi="Gill Sans MT"/>
              <w:smallCaps w:val="0"/>
              <w:noProof/>
            </w:rPr>
            <w:tab/>
          </w:r>
          <w:r w:rsidRPr="000D5D58">
            <w:rPr>
              <w:rFonts w:ascii="Gill Sans MT" w:hAnsi="Gill Sans MT"/>
              <w:smallCaps w:val="0"/>
              <w:noProof/>
            </w:rPr>
            <w:fldChar w:fldCharType="begin"/>
          </w:r>
          <w:r w:rsidRPr="000D5D58">
            <w:rPr>
              <w:rFonts w:ascii="Gill Sans MT" w:hAnsi="Gill Sans MT"/>
              <w:smallCaps w:val="0"/>
              <w:noProof/>
            </w:rPr>
            <w:instrText xml:space="preserve"> PAGEREF _Toc99723481 \h </w:instrText>
          </w:r>
          <w:r w:rsidRPr="000D5D58">
            <w:rPr>
              <w:rFonts w:ascii="Gill Sans MT" w:hAnsi="Gill Sans MT"/>
              <w:smallCaps w:val="0"/>
              <w:noProof/>
            </w:rPr>
          </w:r>
          <w:r w:rsidRPr="000D5D58">
            <w:rPr>
              <w:rFonts w:ascii="Gill Sans MT" w:hAnsi="Gill Sans MT"/>
              <w:smallCaps w:val="0"/>
              <w:noProof/>
            </w:rPr>
            <w:fldChar w:fldCharType="separate"/>
          </w:r>
          <w:r w:rsidR="00A2286E">
            <w:rPr>
              <w:rFonts w:ascii="Gill Sans MT" w:hAnsi="Gill Sans MT"/>
              <w:smallCaps w:val="0"/>
              <w:noProof/>
            </w:rPr>
            <w:t>5</w:t>
          </w:r>
          <w:r w:rsidRPr="000D5D58">
            <w:rPr>
              <w:rFonts w:ascii="Gill Sans MT" w:hAnsi="Gill Sans MT"/>
              <w:smallCaps w:val="0"/>
              <w:noProof/>
            </w:rPr>
            <w:fldChar w:fldCharType="end"/>
          </w:r>
        </w:p>
        <w:p w14:paraId="0980C706" w14:textId="754596CE" w:rsidR="000D5D58" w:rsidRPr="000D5D58" w:rsidRDefault="000D5D58">
          <w:pPr>
            <w:pStyle w:val="TOC2"/>
            <w:tabs>
              <w:tab w:val="right" w:leader="dot" w:pos="8630"/>
            </w:tabs>
            <w:rPr>
              <w:rFonts w:ascii="Gill Sans MT" w:eastAsiaTheme="minorEastAsia" w:hAnsi="Gill Sans MT" w:cstheme="minorBidi"/>
              <w:smallCaps w:val="0"/>
              <w:noProof/>
              <w:sz w:val="22"/>
              <w:szCs w:val="22"/>
              <w:lang w:val="en-AU" w:eastAsia="en-AU"/>
            </w:rPr>
          </w:pPr>
          <w:r w:rsidRPr="000D5D58">
            <w:rPr>
              <w:rFonts w:ascii="Gill Sans MT" w:hAnsi="Gill Sans MT"/>
              <w:smallCaps w:val="0"/>
              <w:noProof/>
            </w:rPr>
            <w:t>Record keeping</w:t>
          </w:r>
          <w:r w:rsidRPr="000D5D58">
            <w:rPr>
              <w:rFonts w:ascii="Gill Sans MT" w:hAnsi="Gill Sans MT"/>
              <w:smallCaps w:val="0"/>
              <w:noProof/>
            </w:rPr>
            <w:tab/>
          </w:r>
          <w:r w:rsidRPr="000D5D58">
            <w:rPr>
              <w:rFonts w:ascii="Gill Sans MT" w:hAnsi="Gill Sans MT"/>
              <w:smallCaps w:val="0"/>
              <w:noProof/>
            </w:rPr>
            <w:fldChar w:fldCharType="begin"/>
          </w:r>
          <w:r w:rsidRPr="000D5D58">
            <w:rPr>
              <w:rFonts w:ascii="Gill Sans MT" w:hAnsi="Gill Sans MT"/>
              <w:smallCaps w:val="0"/>
              <w:noProof/>
            </w:rPr>
            <w:instrText xml:space="preserve"> PAGEREF _Toc99723482 \h </w:instrText>
          </w:r>
          <w:r w:rsidRPr="000D5D58">
            <w:rPr>
              <w:rFonts w:ascii="Gill Sans MT" w:hAnsi="Gill Sans MT"/>
              <w:smallCaps w:val="0"/>
              <w:noProof/>
            </w:rPr>
          </w:r>
          <w:r w:rsidRPr="000D5D58">
            <w:rPr>
              <w:rFonts w:ascii="Gill Sans MT" w:hAnsi="Gill Sans MT"/>
              <w:smallCaps w:val="0"/>
              <w:noProof/>
            </w:rPr>
            <w:fldChar w:fldCharType="separate"/>
          </w:r>
          <w:r w:rsidR="00A2286E">
            <w:rPr>
              <w:rFonts w:ascii="Gill Sans MT" w:hAnsi="Gill Sans MT"/>
              <w:smallCaps w:val="0"/>
              <w:noProof/>
            </w:rPr>
            <w:t>5</w:t>
          </w:r>
          <w:r w:rsidRPr="000D5D58">
            <w:rPr>
              <w:rFonts w:ascii="Gill Sans MT" w:hAnsi="Gill Sans MT"/>
              <w:smallCaps w:val="0"/>
              <w:noProof/>
            </w:rPr>
            <w:fldChar w:fldCharType="end"/>
          </w:r>
        </w:p>
        <w:p w14:paraId="2C5FD4D9" w14:textId="573D3FA0" w:rsidR="000D5D58" w:rsidRPr="000D5D58" w:rsidRDefault="000D5D58">
          <w:pPr>
            <w:pStyle w:val="TOC2"/>
            <w:tabs>
              <w:tab w:val="right" w:leader="dot" w:pos="8630"/>
            </w:tabs>
            <w:rPr>
              <w:rFonts w:ascii="Gill Sans MT" w:eastAsiaTheme="minorEastAsia" w:hAnsi="Gill Sans MT" w:cstheme="minorBidi"/>
              <w:smallCaps w:val="0"/>
              <w:noProof/>
              <w:sz w:val="22"/>
              <w:szCs w:val="22"/>
              <w:lang w:val="en-AU" w:eastAsia="en-AU"/>
            </w:rPr>
          </w:pPr>
          <w:r w:rsidRPr="000D5D58">
            <w:rPr>
              <w:rFonts w:ascii="Gill Sans MT" w:hAnsi="Gill Sans MT"/>
              <w:smallCaps w:val="0"/>
              <w:noProof/>
            </w:rPr>
            <w:t>Table 1 - Recommendations for personal monitoring wearing periods in Tasmania</w:t>
          </w:r>
          <w:r w:rsidRPr="000D5D58">
            <w:rPr>
              <w:rFonts w:ascii="Gill Sans MT" w:hAnsi="Gill Sans MT"/>
              <w:smallCaps w:val="0"/>
              <w:noProof/>
            </w:rPr>
            <w:tab/>
          </w:r>
          <w:r w:rsidRPr="000D5D58">
            <w:rPr>
              <w:rFonts w:ascii="Gill Sans MT" w:hAnsi="Gill Sans MT"/>
              <w:smallCaps w:val="0"/>
              <w:noProof/>
            </w:rPr>
            <w:fldChar w:fldCharType="begin"/>
          </w:r>
          <w:r w:rsidRPr="000D5D58">
            <w:rPr>
              <w:rFonts w:ascii="Gill Sans MT" w:hAnsi="Gill Sans MT"/>
              <w:smallCaps w:val="0"/>
              <w:noProof/>
            </w:rPr>
            <w:instrText xml:space="preserve"> PAGEREF _Toc99723483 \h </w:instrText>
          </w:r>
          <w:r w:rsidRPr="000D5D58">
            <w:rPr>
              <w:rFonts w:ascii="Gill Sans MT" w:hAnsi="Gill Sans MT"/>
              <w:smallCaps w:val="0"/>
              <w:noProof/>
            </w:rPr>
          </w:r>
          <w:r w:rsidRPr="000D5D58">
            <w:rPr>
              <w:rFonts w:ascii="Gill Sans MT" w:hAnsi="Gill Sans MT"/>
              <w:smallCaps w:val="0"/>
              <w:noProof/>
            </w:rPr>
            <w:fldChar w:fldCharType="separate"/>
          </w:r>
          <w:r w:rsidR="00A2286E">
            <w:rPr>
              <w:rFonts w:ascii="Gill Sans MT" w:hAnsi="Gill Sans MT"/>
              <w:smallCaps w:val="0"/>
              <w:noProof/>
            </w:rPr>
            <w:t>6</w:t>
          </w:r>
          <w:r w:rsidRPr="000D5D58">
            <w:rPr>
              <w:rFonts w:ascii="Gill Sans MT" w:hAnsi="Gill Sans MT"/>
              <w:smallCaps w:val="0"/>
              <w:noProof/>
            </w:rPr>
            <w:fldChar w:fldCharType="end"/>
          </w:r>
        </w:p>
        <w:p w14:paraId="73754DFD" w14:textId="271C0C4B"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Nuclear medicine</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_Toc99723484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6</w:t>
          </w:r>
          <w:r w:rsidRPr="000D5D58">
            <w:rPr>
              <w:rFonts w:ascii="Gill Sans MT" w:hAnsi="Gill Sans MT"/>
              <w:noProof/>
            </w:rPr>
            <w:fldChar w:fldCharType="end"/>
          </w:r>
        </w:p>
        <w:p w14:paraId="763DD5D9" w14:textId="5ED20193"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Nuclear medicine</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_Toc99723485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6</w:t>
          </w:r>
          <w:r w:rsidRPr="000D5D58">
            <w:rPr>
              <w:rFonts w:ascii="Gill Sans MT" w:hAnsi="Gill Sans MT"/>
              <w:noProof/>
            </w:rPr>
            <w:fldChar w:fldCharType="end"/>
          </w:r>
        </w:p>
        <w:p w14:paraId="3D41D83F" w14:textId="6425FB65"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Industrial radiography</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_Toc99723486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6</w:t>
          </w:r>
          <w:r w:rsidRPr="000D5D58">
            <w:rPr>
              <w:rFonts w:ascii="Gill Sans MT" w:hAnsi="Gill Sans MT"/>
              <w:noProof/>
            </w:rPr>
            <w:fldChar w:fldCharType="end"/>
          </w:r>
        </w:p>
        <w:p w14:paraId="2211D0D0" w14:textId="1135DFA5"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Blood irradiator</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_Toc99723487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6</w:t>
          </w:r>
          <w:r w:rsidRPr="000D5D58">
            <w:rPr>
              <w:rFonts w:ascii="Gill Sans MT" w:hAnsi="Gill Sans MT"/>
              <w:noProof/>
            </w:rPr>
            <w:fldChar w:fldCharType="end"/>
          </w:r>
        </w:p>
        <w:p w14:paraId="208492EE" w14:textId="305C8456"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Radiotherapy</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_Toc99723488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6</w:t>
          </w:r>
          <w:r w:rsidRPr="000D5D58">
            <w:rPr>
              <w:rFonts w:ascii="Gill Sans MT" w:hAnsi="Gill Sans MT"/>
              <w:noProof/>
            </w:rPr>
            <w:fldChar w:fldCharType="end"/>
          </w:r>
        </w:p>
        <w:p w14:paraId="1905865C" w14:textId="06980F6D"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Diagnostic radiology - interventional</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_Toc99723489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6</w:t>
          </w:r>
          <w:r w:rsidRPr="000D5D58">
            <w:rPr>
              <w:rFonts w:ascii="Gill Sans MT" w:hAnsi="Gill Sans MT"/>
              <w:noProof/>
            </w:rPr>
            <w:fldChar w:fldCharType="end"/>
          </w:r>
        </w:p>
        <w:p w14:paraId="04003F5B" w14:textId="66B62792"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Service engineers and/or consultants (medical, dental, industry and research)</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_Toc99723490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6</w:t>
          </w:r>
          <w:r w:rsidRPr="000D5D58">
            <w:rPr>
              <w:rFonts w:ascii="Gill Sans MT" w:hAnsi="Gill Sans MT"/>
              <w:noProof/>
            </w:rPr>
            <w:fldChar w:fldCharType="end"/>
          </w:r>
        </w:p>
        <w:p w14:paraId="188B47EC" w14:textId="5A3FD77E"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Diagnostic radiology – small hospital</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_Toc99723491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6</w:t>
          </w:r>
          <w:r w:rsidRPr="000D5D58">
            <w:rPr>
              <w:rFonts w:ascii="Gill Sans MT" w:hAnsi="Gill Sans MT"/>
              <w:noProof/>
            </w:rPr>
            <w:fldChar w:fldCharType="end"/>
          </w:r>
        </w:p>
        <w:p w14:paraId="3252F59D" w14:textId="123117BF"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*Diagnostic radiology</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_Toc99723492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7</w:t>
          </w:r>
          <w:r w:rsidRPr="000D5D58">
            <w:rPr>
              <w:rFonts w:ascii="Gill Sans MT" w:hAnsi="Gill Sans MT"/>
              <w:noProof/>
            </w:rPr>
            <w:fldChar w:fldCharType="end"/>
          </w:r>
        </w:p>
        <w:p w14:paraId="33A54973" w14:textId="4A02930B"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 large hospital/private practice/other hospitals (excluding interventional procedures)</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_Toc99723493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7</w:t>
          </w:r>
          <w:r w:rsidRPr="000D5D58">
            <w:rPr>
              <w:rFonts w:ascii="Gill Sans MT" w:hAnsi="Gill Sans MT"/>
              <w:noProof/>
            </w:rPr>
            <w:fldChar w:fldCharType="end"/>
          </w:r>
        </w:p>
        <w:p w14:paraId="66FF8A34" w14:textId="47F3E77D"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Visiting medical specialists (e.g. use of lithotriptor at specified intervals)</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_Toc99723494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7</w:t>
          </w:r>
          <w:r w:rsidRPr="000D5D58">
            <w:rPr>
              <w:rFonts w:ascii="Gill Sans MT" w:hAnsi="Gill Sans MT"/>
              <w:noProof/>
            </w:rPr>
            <w:fldChar w:fldCharType="end"/>
          </w:r>
        </w:p>
        <w:p w14:paraId="7465ED64" w14:textId="0CD03EE9"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Veterinary – practices taking &gt;5 radiographs per month</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_Toc99723495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7</w:t>
          </w:r>
          <w:r w:rsidRPr="000D5D58">
            <w:rPr>
              <w:rFonts w:ascii="Gill Sans MT" w:hAnsi="Gill Sans MT"/>
              <w:noProof/>
            </w:rPr>
            <w:fldChar w:fldCharType="end"/>
          </w:r>
        </w:p>
        <w:p w14:paraId="055102E1" w14:textId="1D887A62"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(particularly those where animals are manually restrained and/or involving field radiography)</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_Toc99723496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7</w:t>
          </w:r>
          <w:r w:rsidRPr="000D5D58">
            <w:rPr>
              <w:rFonts w:ascii="Gill Sans MT" w:hAnsi="Gill Sans MT"/>
              <w:noProof/>
            </w:rPr>
            <w:fldChar w:fldCharType="end"/>
          </w:r>
        </w:p>
        <w:p w14:paraId="0FE8146F" w14:textId="7E4D4228"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Soil moisture and density gauge users</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_Toc99723497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7</w:t>
          </w:r>
          <w:r w:rsidRPr="000D5D58">
            <w:rPr>
              <w:rFonts w:ascii="Gill Sans MT" w:hAnsi="Gill Sans MT"/>
              <w:noProof/>
            </w:rPr>
            <w:fldChar w:fldCharType="end"/>
          </w:r>
        </w:p>
        <w:p w14:paraId="55649D9F" w14:textId="34799DCE"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+Research – government (excluding tritium)</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_Toc99723498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7</w:t>
          </w:r>
          <w:r w:rsidRPr="000D5D58">
            <w:rPr>
              <w:rFonts w:ascii="Gill Sans MT" w:hAnsi="Gill Sans MT"/>
              <w:noProof/>
            </w:rPr>
            <w:fldChar w:fldCharType="end"/>
          </w:r>
        </w:p>
        <w:p w14:paraId="0FFFB88D" w14:textId="148A74DF"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+Research –medical and veterinary (excluding tritium)</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_Toc99723499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7</w:t>
          </w:r>
          <w:r w:rsidRPr="000D5D58">
            <w:rPr>
              <w:rFonts w:ascii="Gill Sans MT" w:hAnsi="Gill Sans MT"/>
              <w:noProof/>
            </w:rPr>
            <w:fldChar w:fldCharType="end"/>
          </w:r>
        </w:p>
        <w:p w14:paraId="6057C041" w14:textId="37ECC43D"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*Diagnostic radiology – other medical practices</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_Toc99723500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7</w:t>
          </w:r>
          <w:r w:rsidRPr="000D5D58">
            <w:rPr>
              <w:rFonts w:ascii="Gill Sans MT" w:hAnsi="Gill Sans MT"/>
              <w:noProof/>
            </w:rPr>
            <w:fldChar w:fldCharType="end"/>
          </w:r>
        </w:p>
        <w:p w14:paraId="21775EF3" w14:textId="25301481"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Dental and dental specialties</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_Toc99723501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8</w:t>
          </w:r>
          <w:r w:rsidRPr="000D5D58">
            <w:rPr>
              <w:rFonts w:ascii="Gill Sans MT" w:hAnsi="Gill Sans MT"/>
              <w:noProof/>
            </w:rPr>
            <w:fldChar w:fldCharType="end"/>
          </w:r>
        </w:p>
        <w:p w14:paraId="7B8241E0" w14:textId="57F70EAB"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Chiropractic</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_Toc99723502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8</w:t>
          </w:r>
          <w:r w:rsidRPr="000D5D58">
            <w:rPr>
              <w:rFonts w:ascii="Gill Sans MT" w:hAnsi="Gill Sans MT"/>
              <w:noProof/>
            </w:rPr>
            <w:fldChar w:fldCharType="end"/>
          </w:r>
        </w:p>
        <w:p w14:paraId="4F263805" w14:textId="17ED10F9"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Veterinary - those practices where five or fewer than five radiographs per month are taken</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_Toc99723503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8</w:t>
          </w:r>
          <w:r w:rsidRPr="000D5D58">
            <w:rPr>
              <w:rFonts w:ascii="Gill Sans MT" w:hAnsi="Gill Sans MT"/>
              <w:noProof/>
            </w:rPr>
            <w:fldChar w:fldCharType="end"/>
          </w:r>
        </w:p>
        <w:p w14:paraId="083FE539" w14:textId="25A5962C"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Baggage X-ray</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_Toc99723504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8</w:t>
          </w:r>
          <w:r w:rsidRPr="000D5D58">
            <w:rPr>
              <w:rFonts w:ascii="Gill Sans MT" w:hAnsi="Gill Sans MT"/>
              <w:noProof/>
            </w:rPr>
            <w:fldChar w:fldCharType="end"/>
          </w:r>
        </w:p>
        <w:p w14:paraId="1649612D" w14:textId="09FA6367"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Education</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_Toc99723505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8</w:t>
          </w:r>
          <w:r w:rsidRPr="000D5D58">
            <w:rPr>
              <w:rFonts w:ascii="Gill Sans MT" w:hAnsi="Gill Sans MT"/>
              <w:noProof/>
            </w:rPr>
            <w:fldChar w:fldCharType="end"/>
          </w:r>
        </w:p>
        <w:p w14:paraId="1821A7EF" w14:textId="2D001070"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Industry</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_Toc99723506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8</w:t>
          </w:r>
          <w:r w:rsidRPr="000D5D58">
            <w:rPr>
              <w:rFonts w:ascii="Gill Sans MT" w:hAnsi="Gill Sans MT"/>
              <w:noProof/>
            </w:rPr>
            <w:fldChar w:fldCharType="end"/>
          </w:r>
        </w:p>
        <w:p w14:paraId="5E343238" w14:textId="28581E8D"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Users of Ni-63 sources; suppliers of ionization smoke detectors</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_Toc99723507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8</w:t>
          </w:r>
          <w:r w:rsidRPr="000D5D58">
            <w:rPr>
              <w:rFonts w:ascii="Gill Sans MT" w:hAnsi="Gill Sans MT"/>
              <w:noProof/>
            </w:rPr>
            <w:fldChar w:fldCharType="end"/>
          </w:r>
        </w:p>
        <w:p w14:paraId="1377899B" w14:textId="19B23187"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XRF and XRD users of hand-held units or those units without sample auto-changing</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_Toc99723508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9</w:t>
          </w:r>
          <w:r w:rsidRPr="000D5D58">
            <w:rPr>
              <w:rFonts w:ascii="Gill Sans MT" w:hAnsi="Gill Sans MT"/>
              <w:noProof/>
            </w:rPr>
            <w:fldChar w:fldCharType="end"/>
          </w:r>
        </w:p>
        <w:p w14:paraId="6BE6AB10" w14:textId="277A4135"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Workplaces where radon levels may exceed 1000 Bq/m3</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_Toc99723509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9</w:t>
          </w:r>
          <w:r w:rsidRPr="000D5D58">
            <w:rPr>
              <w:rFonts w:ascii="Gill Sans MT" w:hAnsi="Gill Sans MT"/>
              <w:noProof/>
            </w:rPr>
            <w:fldChar w:fldCharType="end"/>
          </w:r>
        </w:p>
        <w:p w14:paraId="0B3D8804" w14:textId="4780B4FA" w:rsidR="000D5D58" w:rsidRPr="000D5D58" w:rsidRDefault="000D5D58">
          <w:pPr>
            <w:pStyle w:val="TOC3"/>
            <w:tabs>
              <w:tab w:val="right" w:leader="dot" w:pos="8630"/>
            </w:tabs>
            <w:rPr>
              <w:rFonts w:ascii="Gill Sans MT" w:eastAsiaTheme="minorEastAsia" w:hAnsi="Gill Sans MT" w:cstheme="minorBidi"/>
              <w:i w:val="0"/>
              <w:noProof/>
              <w:sz w:val="22"/>
              <w:szCs w:val="22"/>
              <w:lang w:val="en-AU" w:eastAsia="en-AU"/>
            </w:rPr>
          </w:pPr>
          <w:r w:rsidRPr="000D5D58">
            <w:rPr>
              <w:rFonts w:ascii="Gill Sans MT" w:hAnsi="Gill Sans MT"/>
              <w:noProof/>
              <w:color w:val="000000" w:themeColor="text1"/>
            </w:rPr>
            <w:t>Mining and milling of radioactive ores</w:t>
          </w:r>
          <w:r w:rsidRPr="000D5D58">
            <w:rPr>
              <w:rFonts w:ascii="Gill Sans MT" w:hAnsi="Gill Sans MT"/>
              <w:noProof/>
            </w:rPr>
            <w:tab/>
          </w:r>
          <w:r w:rsidRPr="000D5D58">
            <w:rPr>
              <w:rFonts w:ascii="Gill Sans MT" w:hAnsi="Gill Sans MT"/>
              <w:noProof/>
            </w:rPr>
            <w:fldChar w:fldCharType="begin"/>
          </w:r>
          <w:r w:rsidRPr="000D5D58">
            <w:rPr>
              <w:rFonts w:ascii="Gill Sans MT" w:hAnsi="Gill Sans MT"/>
              <w:noProof/>
            </w:rPr>
            <w:instrText xml:space="preserve"> PAGEREF _Toc99723510 \h </w:instrText>
          </w:r>
          <w:r w:rsidRPr="000D5D58">
            <w:rPr>
              <w:rFonts w:ascii="Gill Sans MT" w:hAnsi="Gill Sans MT"/>
              <w:noProof/>
            </w:rPr>
          </w:r>
          <w:r w:rsidRPr="000D5D58">
            <w:rPr>
              <w:rFonts w:ascii="Gill Sans MT" w:hAnsi="Gill Sans MT"/>
              <w:noProof/>
            </w:rPr>
            <w:fldChar w:fldCharType="separate"/>
          </w:r>
          <w:r w:rsidR="00A2286E">
            <w:rPr>
              <w:rFonts w:ascii="Gill Sans MT" w:hAnsi="Gill Sans MT"/>
              <w:noProof/>
            </w:rPr>
            <w:t>9</w:t>
          </w:r>
          <w:r w:rsidRPr="000D5D58">
            <w:rPr>
              <w:rFonts w:ascii="Gill Sans MT" w:hAnsi="Gill Sans MT"/>
              <w:noProof/>
            </w:rPr>
            <w:fldChar w:fldCharType="end"/>
          </w:r>
        </w:p>
        <w:p w14:paraId="6ABBAE0E" w14:textId="5297B707" w:rsidR="00835AED" w:rsidRPr="000D5D58" w:rsidRDefault="000D5D58" w:rsidP="0069508F">
          <w:r w:rsidRPr="000D5D58">
            <w:rPr>
              <w:rFonts w:eastAsia="Times New Roman" w:cs="Times New Roman"/>
              <w:bCs/>
              <w:color w:val="005395"/>
              <w:sz w:val="20"/>
              <w:szCs w:val="20"/>
              <w:lang w:val="en-US"/>
            </w:rPr>
            <w:fldChar w:fldCharType="end"/>
          </w:r>
        </w:p>
      </w:sdtContent>
    </w:sdt>
    <w:p w14:paraId="7E4ED53D" w14:textId="77777777" w:rsidR="000D5D58" w:rsidRDefault="000D5D58">
      <w:r>
        <w:br w:type="page"/>
      </w:r>
    </w:p>
    <w:p w14:paraId="54C6714B" w14:textId="6ABA0B42" w:rsidR="00835AED" w:rsidRPr="0069508F" w:rsidRDefault="00835AED" w:rsidP="00835AED">
      <w:r w:rsidRPr="0069508F">
        <w:lastRenderedPageBreak/>
        <w:t xml:space="preserve">This Guideline is issued in accordance with Section 57 of the Radiation Protection Act 2005 </w:t>
      </w:r>
    </w:p>
    <w:p w14:paraId="5BF52FD9" w14:textId="77777777" w:rsidR="00835AED" w:rsidRPr="0069508F" w:rsidRDefault="00835AED" w:rsidP="00835AED"/>
    <w:p w14:paraId="68397D5C" w14:textId="77777777" w:rsidR="00835AED" w:rsidRPr="0069508F" w:rsidRDefault="00835AED" w:rsidP="00835AED">
      <w:r w:rsidRPr="0069508F">
        <w:t>Dr Mark Veitch</w:t>
      </w:r>
    </w:p>
    <w:p w14:paraId="008B10FC" w14:textId="77777777" w:rsidR="00835AED" w:rsidRPr="0069508F" w:rsidRDefault="00835AED" w:rsidP="00835AED">
      <w:r w:rsidRPr="0069508F">
        <w:t xml:space="preserve">Director of Public Health </w:t>
      </w:r>
    </w:p>
    <w:p w14:paraId="72174FDD" w14:textId="77777777" w:rsidR="00835AED" w:rsidRPr="0069508F" w:rsidRDefault="00835AED" w:rsidP="00835AED"/>
    <w:p w14:paraId="035FB399" w14:textId="77777777" w:rsidR="00835AED" w:rsidRPr="0069508F" w:rsidRDefault="00835AED" w:rsidP="00835AED">
      <w:r w:rsidRPr="0069508F">
        <w:t xml:space="preserve">The Guideline for personal radiation monitoring program is designed to assist Tasmanian licence holders to: </w:t>
      </w:r>
    </w:p>
    <w:p w14:paraId="0979993A" w14:textId="77777777" w:rsidR="00835AED" w:rsidRPr="0069508F" w:rsidRDefault="00835AED" w:rsidP="00835AED">
      <w:pPr>
        <w:pStyle w:val="ListParagraph"/>
        <w:numPr>
          <w:ilvl w:val="0"/>
          <w:numId w:val="33"/>
        </w:numPr>
        <w:rPr>
          <w:rFonts w:ascii="Gill Sans MT" w:hAnsi="Gill Sans MT"/>
        </w:rPr>
      </w:pPr>
      <w:r w:rsidRPr="0069508F">
        <w:rPr>
          <w:rFonts w:ascii="Gill Sans MT" w:hAnsi="Gill Sans MT"/>
        </w:rPr>
        <w:t>develop an appropriate personal radiation monitoring program for inclusion in their Radiation Management Plan (RMP)</w:t>
      </w:r>
    </w:p>
    <w:p w14:paraId="18F7F2BB" w14:textId="77777777" w:rsidR="00835AED" w:rsidRPr="0069508F" w:rsidRDefault="00835AED" w:rsidP="00835AED">
      <w:pPr>
        <w:pStyle w:val="ListParagraph"/>
        <w:numPr>
          <w:ilvl w:val="0"/>
          <w:numId w:val="33"/>
        </w:numPr>
        <w:rPr>
          <w:rFonts w:ascii="Gill Sans MT" w:hAnsi="Gill Sans MT"/>
        </w:rPr>
      </w:pPr>
      <w:r w:rsidRPr="0069508F">
        <w:rPr>
          <w:rFonts w:ascii="Gill Sans MT" w:hAnsi="Gill Sans MT"/>
        </w:rPr>
        <w:t>satisfy the condition of licence under the Radiation Protection Act 2005 that requires implementation of an approved personal radiation monitoring program.</w:t>
      </w:r>
    </w:p>
    <w:p w14:paraId="7B27AD4C" w14:textId="77777777" w:rsidR="00835AED" w:rsidRPr="0069508F" w:rsidRDefault="00835AED" w:rsidP="00835AED">
      <w:r w:rsidRPr="0069508F">
        <w:t xml:space="preserve">Such a program must allow estimation of all occupational exposures, in routine and accident situations. Approved programs could combine various methods of dose estimation, of which the wearing of personal radiation monitors is one. When used, the personal radiation monitors must be provided by a service approved for Tasmania (see </w:t>
      </w:r>
      <w:hyperlink r:id="rId14" w:history="1">
        <w:r w:rsidRPr="0069508F">
          <w:rPr>
            <w:rStyle w:val="Hyperlink"/>
          </w:rPr>
          <w:t>https://www.health.tas.gov.au/health-topics/radiation-protection</w:t>
        </w:r>
      </w:hyperlink>
      <w:r w:rsidRPr="0069508F">
        <w:t xml:space="preserve"> for details)</w:t>
      </w:r>
    </w:p>
    <w:p w14:paraId="3C3033BF" w14:textId="77777777" w:rsidR="00835AED" w:rsidRPr="0069508F" w:rsidRDefault="00835AED" w:rsidP="00835AED">
      <w:r w:rsidRPr="0069508F">
        <w:t>Other methods of estimating doses include calculating exposures from measured dose rates, area monitoring (monitoring at a specified location rather than monitoring individuals) or conducting personal monitoring for a pre-determined period (12 months, say) to establish typical exposures.</w:t>
      </w:r>
    </w:p>
    <w:p w14:paraId="203DF909" w14:textId="0AF1F3B2" w:rsidR="00835AED" w:rsidRPr="0069508F" w:rsidRDefault="00835AED" w:rsidP="00835AED">
      <w:r w:rsidRPr="0069508F">
        <w:t>In some situations, area monitoring may be used to indicate the maximum radiation exposure to any person and may be appropriate where several people could be exposed to low levels of radiation from a source, for short time intervals. For example, a monitor placed on the edge of a walkway may indicate the maximum dose possible to industrial operators who occasionally walk past a radiation gauge fixed close to the walkway.</w:t>
      </w:r>
    </w:p>
    <w:p w14:paraId="7F1EAE2E" w14:textId="77777777" w:rsidR="00835AED" w:rsidRPr="0069508F" w:rsidRDefault="00835AED">
      <w:r w:rsidRPr="0069508F">
        <w:br w:type="page"/>
      </w:r>
    </w:p>
    <w:p w14:paraId="04878F29" w14:textId="77777777" w:rsidR="00835AED" w:rsidRPr="0069508F" w:rsidRDefault="00835AED" w:rsidP="00835AED">
      <w:pPr>
        <w:pStyle w:val="Heading1"/>
      </w:pPr>
      <w:bookmarkStart w:id="3" w:name="_Toc99722087"/>
      <w:bookmarkStart w:id="4" w:name="_Toc99722371"/>
      <w:bookmarkStart w:id="5" w:name="_Toc99722453"/>
      <w:bookmarkStart w:id="6" w:name="_Toc99723474"/>
      <w:r w:rsidRPr="0069508F">
        <w:lastRenderedPageBreak/>
        <w:t xml:space="preserve">Guidance for </w:t>
      </w:r>
      <w:proofErr w:type="gramStart"/>
      <w:r w:rsidRPr="0069508F">
        <w:t>particular situations</w:t>
      </w:r>
      <w:bookmarkEnd w:id="3"/>
      <w:bookmarkEnd w:id="4"/>
      <w:bookmarkEnd w:id="5"/>
      <w:bookmarkEnd w:id="6"/>
      <w:proofErr w:type="gramEnd"/>
    </w:p>
    <w:p w14:paraId="5F8BD6E8" w14:textId="77777777" w:rsidR="00835AED" w:rsidRPr="0069508F" w:rsidRDefault="00835AED" w:rsidP="00835AED">
      <w:pPr>
        <w:pStyle w:val="Heading2"/>
        <w:ind w:left="0"/>
      </w:pPr>
      <w:bookmarkStart w:id="7" w:name="_Toc99722088"/>
      <w:bookmarkStart w:id="8" w:name="_Toc99722372"/>
      <w:bookmarkStart w:id="9" w:name="_Toc99722454"/>
      <w:bookmarkStart w:id="10" w:name="_Toc99723475"/>
      <w:r w:rsidRPr="0069508F">
        <w:t>Monitoring of part-time/casual employees</w:t>
      </w:r>
      <w:bookmarkEnd w:id="7"/>
      <w:bookmarkEnd w:id="8"/>
      <w:bookmarkEnd w:id="9"/>
      <w:bookmarkEnd w:id="10"/>
    </w:p>
    <w:p w14:paraId="12C07945" w14:textId="77777777" w:rsidR="00835AED" w:rsidRPr="0069508F" w:rsidRDefault="00835AED" w:rsidP="00835AED">
      <w:pPr>
        <w:spacing w:after="160" w:line="259" w:lineRule="auto"/>
        <w:rPr>
          <w:rFonts w:eastAsia="Calibri" w:cs="Times New Roman"/>
        </w:rPr>
      </w:pPr>
      <w:r w:rsidRPr="0069508F">
        <w:rPr>
          <w:rFonts w:eastAsia="Calibri" w:cs="Times New Roman"/>
        </w:rPr>
        <w:t>Dose estimation may be sufficient, or a direct reading dosimeter could be used. However, if a dose greater than 250 µ</w:t>
      </w:r>
      <w:proofErr w:type="spellStart"/>
      <w:r w:rsidRPr="0069508F">
        <w:rPr>
          <w:rFonts w:eastAsia="Calibri" w:cs="Times New Roman"/>
        </w:rPr>
        <w:t>Sv</w:t>
      </w:r>
      <w:proofErr w:type="spellEnd"/>
      <w:r w:rsidRPr="0069508F">
        <w:rPr>
          <w:rFonts w:eastAsia="Calibri" w:cs="Times New Roman"/>
        </w:rPr>
        <w:t xml:space="preserve"> per year is predicted for the part-time employee, personal monitoring should be provided. This is particularly important if the part-time employee is working at more than one practice because the total annual dose must then be considered.</w:t>
      </w:r>
    </w:p>
    <w:p w14:paraId="7CF9109F" w14:textId="77777777" w:rsidR="00835AED" w:rsidRPr="0069508F" w:rsidRDefault="00835AED" w:rsidP="00835AED">
      <w:pPr>
        <w:pStyle w:val="Heading2"/>
        <w:ind w:left="0"/>
      </w:pPr>
      <w:bookmarkStart w:id="11" w:name="_Toc99722089"/>
      <w:bookmarkStart w:id="12" w:name="_Toc99722373"/>
      <w:bookmarkStart w:id="13" w:name="_Toc99722455"/>
      <w:bookmarkStart w:id="14" w:name="_Toc99723476"/>
      <w:r w:rsidRPr="0069508F">
        <w:t>Monitoring of pregnant staff</w:t>
      </w:r>
      <w:bookmarkEnd w:id="11"/>
      <w:bookmarkEnd w:id="12"/>
      <w:bookmarkEnd w:id="13"/>
      <w:bookmarkEnd w:id="14"/>
    </w:p>
    <w:p w14:paraId="79FFABAE" w14:textId="77777777" w:rsidR="00835AED" w:rsidRPr="0069508F" w:rsidRDefault="00835AED" w:rsidP="00835AED">
      <w:pPr>
        <w:spacing w:after="160" w:line="259" w:lineRule="auto"/>
        <w:rPr>
          <w:rFonts w:eastAsia="Calibri" w:cs="Times New Roman"/>
        </w:rPr>
      </w:pPr>
      <w:r w:rsidRPr="0069508F">
        <w:rPr>
          <w:rFonts w:eastAsia="Calibri" w:cs="Times New Roman"/>
        </w:rPr>
        <w:t>No changes to personal monitoring should be required other than for nuclear medicine (if necessary, the work practice should be modified to ensure compliance with relevant dose limits) but, rather, the standard monitoring could be supplemented by additional monitoring:</w:t>
      </w:r>
    </w:p>
    <w:p w14:paraId="606A1F3B" w14:textId="77777777" w:rsidR="00835AED" w:rsidRPr="0069508F" w:rsidRDefault="00835AED" w:rsidP="00835AED">
      <w:pPr>
        <w:numPr>
          <w:ilvl w:val="0"/>
          <w:numId w:val="29"/>
        </w:numPr>
        <w:spacing w:after="160" w:line="259" w:lineRule="auto"/>
        <w:contextualSpacing/>
        <w:rPr>
          <w:rFonts w:eastAsia="Calibri" w:cs="Times New Roman"/>
        </w:rPr>
      </w:pPr>
      <w:r w:rsidRPr="0069508F">
        <w:rPr>
          <w:rFonts w:eastAsia="Calibri" w:cs="Times New Roman"/>
        </w:rPr>
        <w:t>if there is any possibility that dose limits may be exceeded; or</w:t>
      </w:r>
    </w:p>
    <w:p w14:paraId="623CFF5C" w14:textId="77777777" w:rsidR="00835AED" w:rsidRPr="0069508F" w:rsidRDefault="00835AED" w:rsidP="00835AED">
      <w:pPr>
        <w:numPr>
          <w:ilvl w:val="0"/>
          <w:numId w:val="29"/>
        </w:numPr>
        <w:spacing w:after="160" w:line="259" w:lineRule="auto"/>
        <w:contextualSpacing/>
        <w:rPr>
          <w:rFonts w:eastAsia="Calibri" w:cs="Times New Roman"/>
        </w:rPr>
      </w:pPr>
      <w:r w:rsidRPr="0069508F">
        <w:rPr>
          <w:rFonts w:eastAsia="Calibri" w:cs="Times New Roman"/>
        </w:rPr>
        <w:t xml:space="preserve">if high exposures could occur, for example </w:t>
      </w:r>
      <w:proofErr w:type="gramStart"/>
      <w:r w:rsidRPr="0069508F">
        <w:rPr>
          <w:rFonts w:eastAsia="Calibri" w:cs="Times New Roman"/>
        </w:rPr>
        <w:t>as a result of</w:t>
      </w:r>
      <w:proofErr w:type="gramEnd"/>
      <w:r w:rsidRPr="0069508F">
        <w:rPr>
          <w:rFonts w:eastAsia="Calibri" w:cs="Times New Roman"/>
        </w:rPr>
        <w:t xml:space="preserve"> an incident; or</w:t>
      </w:r>
    </w:p>
    <w:p w14:paraId="591D5FF6" w14:textId="77777777" w:rsidR="00835AED" w:rsidRPr="0069508F" w:rsidRDefault="00835AED" w:rsidP="00835AED">
      <w:pPr>
        <w:numPr>
          <w:ilvl w:val="0"/>
          <w:numId w:val="29"/>
        </w:numPr>
        <w:spacing w:after="160" w:line="259" w:lineRule="auto"/>
        <w:contextualSpacing/>
        <w:rPr>
          <w:rFonts w:eastAsia="Calibri" w:cs="Times New Roman"/>
        </w:rPr>
      </w:pPr>
      <w:r w:rsidRPr="0069508F">
        <w:rPr>
          <w:rFonts w:eastAsia="Calibri" w:cs="Times New Roman"/>
        </w:rPr>
        <w:t>to provide information and reassurance to the pregnant employee.</w:t>
      </w:r>
    </w:p>
    <w:p w14:paraId="56F73DA7" w14:textId="77777777" w:rsidR="00835AED" w:rsidRPr="0069508F" w:rsidRDefault="00835AED" w:rsidP="00835AED">
      <w:pPr>
        <w:pStyle w:val="Heading2"/>
        <w:ind w:left="0"/>
      </w:pPr>
      <w:bookmarkStart w:id="15" w:name="_Toc99722090"/>
      <w:bookmarkStart w:id="16" w:name="_Toc99722374"/>
      <w:bookmarkStart w:id="17" w:name="_Toc99722456"/>
      <w:bookmarkStart w:id="18" w:name="_Toc99723477"/>
      <w:r w:rsidRPr="0069508F">
        <w:t>People requiring personal monitoring</w:t>
      </w:r>
      <w:bookmarkEnd w:id="15"/>
      <w:bookmarkEnd w:id="16"/>
      <w:bookmarkEnd w:id="17"/>
      <w:bookmarkEnd w:id="18"/>
    </w:p>
    <w:p w14:paraId="66050EFA" w14:textId="77777777" w:rsidR="00835AED" w:rsidRPr="0069508F" w:rsidRDefault="00835AED" w:rsidP="00835AED">
      <w:pPr>
        <w:numPr>
          <w:ilvl w:val="0"/>
          <w:numId w:val="30"/>
        </w:numPr>
        <w:spacing w:after="160" w:line="259" w:lineRule="auto"/>
        <w:contextualSpacing/>
        <w:rPr>
          <w:rFonts w:eastAsia="Calibri" w:cs="Times New Roman"/>
        </w:rPr>
      </w:pPr>
      <w:r w:rsidRPr="0069508F">
        <w:rPr>
          <w:rFonts w:eastAsia="Calibri" w:cs="Times New Roman"/>
        </w:rPr>
        <w:t>Schedule 3 Part B of a licence issued under the Radiation Protection Act 2005, specifies some persons at risk for whom monitoring is mandatory.</w:t>
      </w:r>
    </w:p>
    <w:p w14:paraId="6B1C6875" w14:textId="77777777" w:rsidR="00835AED" w:rsidRPr="0069508F" w:rsidRDefault="00835AED" w:rsidP="00835AED">
      <w:pPr>
        <w:numPr>
          <w:ilvl w:val="0"/>
          <w:numId w:val="30"/>
        </w:numPr>
        <w:spacing w:after="160" w:line="259" w:lineRule="auto"/>
        <w:contextualSpacing/>
        <w:rPr>
          <w:rFonts w:eastAsia="Calibri" w:cs="Times New Roman"/>
        </w:rPr>
      </w:pPr>
      <w:r w:rsidRPr="0069508F">
        <w:rPr>
          <w:rFonts w:eastAsia="Calibri" w:cs="Times New Roman"/>
        </w:rPr>
        <w:t>All persons listed on a licence as authorised to use radioactive materials or radiation apparatus should be monitored, other than those employed in practices specified as ‘monitoring not mandatory’ (see Table 1).</w:t>
      </w:r>
    </w:p>
    <w:p w14:paraId="3BE02FF7" w14:textId="77777777" w:rsidR="00835AED" w:rsidRPr="0069508F" w:rsidRDefault="00835AED" w:rsidP="00835AED">
      <w:pPr>
        <w:numPr>
          <w:ilvl w:val="0"/>
          <w:numId w:val="30"/>
        </w:numPr>
        <w:spacing w:after="160" w:line="259" w:lineRule="auto"/>
        <w:contextualSpacing/>
        <w:rPr>
          <w:rFonts w:eastAsia="Calibri" w:cs="Times New Roman"/>
        </w:rPr>
      </w:pPr>
      <w:r w:rsidRPr="0069508F">
        <w:rPr>
          <w:rFonts w:eastAsia="Calibri" w:cs="Times New Roman"/>
        </w:rPr>
        <w:t xml:space="preserve">Persons carrying out duties where incidental radiation exposure may occur, </w:t>
      </w:r>
      <w:proofErr w:type="spellStart"/>
      <w:proofErr w:type="gramStart"/>
      <w:r w:rsidRPr="0069508F">
        <w:rPr>
          <w:rFonts w:eastAsia="Calibri" w:cs="Times New Roman"/>
        </w:rPr>
        <w:t>eg</w:t>
      </w:r>
      <w:proofErr w:type="spellEnd"/>
      <w:proofErr w:type="gramEnd"/>
      <w:r w:rsidRPr="0069508F">
        <w:rPr>
          <w:rFonts w:eastAsia="Calibri" w:cs="Times New Roman"/>
        </w:rPr>
        <w:t xml:space="preserve"> person moving a radiation gauge within an industrial plant. Monitoring may not be required for a ‘one-off</w:t>
      </w:r>
      <w:proofErr w:type="gramStart"/>
      <w:r w:rsidRPr="0069508F">
        <w:rPr>
          <w:rFonts w:eastAsia="Calibri" w:cs="Times New Roman"/>
        </w:rPr>
        <w:t>’</w:t>
      </w:r>
      <w:proofErr w:type="gramEnd"/>
      <w:r w:rsidRPr="0069508F">
        <w:rPr>
          <w:rFonts w:eastAsia="Calibri" w:cs="Times New Roman"/>
        </w:rPr>
        <w:t xml:space="preserve"> but the potential radiation exposure should be estimated (in advance) and recorded and the person should be informed of the likely exposure. Should the potential exposure from all such tasks in one year exceed 250 µ</w:t>
      </w:r>
      <w:proofErr w:type="spellStart"/>
      <w:r w:rsidRPr="0069508F">
        <w:rPr>
          <w:rFonts w:eastAsia="Calibri" w:cs="Times New Roman"/>
        </w:rPr>
        <w:t>Sv</w:t>
      </w:r>
      <w:proofErr w:type="spellEnd"/>
      <w:r w:rsidRPr="0069508F">
        <w:rPr>
          <w:rFonts w:eastAsia="Calibri" w:cs="Times New Roman"/>
        </w:rPr>
        <w:t xml:space="preserve">, then monitoring is required. Accidental exposure, </w:t>
      </w:r>
      <w:proofErr w:type="spellStart"/>
      <w:r w:rsidRPr="0069508F">
        <w:rPr>
          <w:rFonts w:eastAsia="Calibri" w:cs="Times New Roman"/>
        </w:rPr>
        <w:t>e.g</w:t>
      </w:r>
      <w:proofErr w:type="spellEnd"/>
      <w:r w:rsidRPr="0069508F">
        <w:rPr>
          <w:rFonts w:eastAsia="Calibri" w:cs="Times New Roman"/>
        </w:rPr>
        <w:t xml:space="preserve"> if a shutter is not locked off, should also be </w:t>
      </w:r>
      <w:proofErr w:type="gramStart"/>
      <w:r w:rsidRPr="0069508F">
        <w:rPr>
          <w:rFonts w:eastAsia="Calibri" w:cs="Times New Roman"/>
        </w:rPr>
        <w:t>taken into account</w:t>
      </w:r>
      <w:proofErr w:type="gramEnd"/>
      <w:r w:rsidRPr="0069508F">
        <w:rPr>
          <w:rFonts w:eastAsia="Calibri" w:cs="Times New Roman"/>
        </w:rPr>
        <w:t>.</w:t>
      </w:r>
    </w:p>
    <w:p w14:paraId="229CDA18" w14:textId="77777777" w:rsidR="00835AED" w:rsidRPr="0069508F" w:rsidRDefault="00835AED" w:rsidP="00835AED">
      <w:pPr>
        <w:numPr>
          <w:ilvl w:val="0"/>
          <w:numId w:val="30"/>
        </w:numPr>
        <w:spacing w:after="160" w:line="259" w:lineRule="auto"/>
        <w:contextualSpacing/>
        <w:rPr>
          <w:rFonts w:eastAsia="Calibri" w:cs="Times New Roman"/>
        </w:rPr>
      </w:pPr>
      <w:r w:rsidRPr="0069508F">
        <w:rPr>
          <w:rFonts w:eastAsia="Calibri" w:cs="Times New Roman"/>
        </w:rPr>
        <w:t xml:space="preserve">Interventional radiology – radiologist (or cardiologist) must be monitored. </w:t>
      </w:r>
      <w:proofErr w:type="gramStart"/>
      <w:r w:rsidRPr="0069508F">
        <w:rPr>
          <w:rFonts w:eastAsia="Calibri" w:cs="Times New Roman"/>
        </w:rPr>
        <w:t>Radiographers</w:t>
      </w:r>
      <w:proofErr w:type="gramEnd"/>
      <w:r w:rsidRPr="0069508F">
        <w:rPr>
          <w:rFonts w:eastAsia="Calibri" w:cs="Times New Roman"/>
        </w:rPr>
        <w:t xml:space="preserve"> present must be monitored. Doses to theatre staff may either be calculated from these measured doses or be estimated by monitoring the individuals.</w:t>
      </w:r>
    </w:p>
    <w:p w14:paraId="76678981" w14:textId="77777777" w:rsidR="00835AED" w:rsidRPr="0069508F" w:rsidRDefault="00835AED" w:rsidP="00835AED">
      <w:pPr>
        <w:numPr>
          <w:ilvl w:val="0"/>
          <w:numId w:val="30"/>
        </w:numPr>
        <w:spacing w:after="160" w:line="259" w:lineRule="auto"/>
        <w:contextualSpacing/>
        <w:rPr>
          <w:rFonts w:eastAsia="Calibri" w:cs="Times New Roman"/>
        </w:rPr>
      </w:pPr>
      <w:r w:rsidRPr="0069508F">
        <w:rPr>
          <w:rFonts w:eastAsia="Calibri" w:cs="Times New Roman"/>
        </w:rPr>
        <w:t>Iodine therapy – nurses attending iodine therapy patients must be monitored.</w:t>
      </w:r>
    </w:p>
    <w:p w14:paraId="7D13224E" w14:textId="77777777" w:rsidR="00835AED" w:rsidRPr="0069508F" w:rsidRDefault="00835AED" w:rsidP="00835AED">
      <w:pPr>
        <w:pStyle w:val="Heading2"/>
      </w:pPr>
      <w:bookmarkStart w:id="19" w:name="_Toc99722091"/>
      <w:bookmarkStart w:id="20" w:name="_Toc99722375"/>
      <w:bookmarkStart w:id="21" w:name="_Toc99722457"/>
      <w:bookmarkStart w:id="22" w:name="_Toc99723478"/>
      <w:r w:rsidRPr="0069508F">
        <w:t>Monitoring of extremities</w:t>
      </w:r>
      <w:bookmarkEnd w:id="19"/>
      <w:bookmarkEnd w:id="20"/>
      <w:bookmarkEnd w:id="21"/>
      <w:bookmarkEnd w:id="22"/>
    </w:p>
    <w:p w14:paraId="621801B2" w14:textId="77777777" w:rsidR="00835AED" w:rsidRPr="0069508F" w:rsidRDefault="00835AED" w:rsidP="00835AED">
      <w:pPr>
        <w:numPr>
          <w:ilvl w:val="0"/>
          <w:numId w:val="31"/>
        </w:numPr>
        <w:spacing w:after="240" w:line="259" w:lineRule="auto"/>
        <w:contextualSpacing/>
        <w:rPr>
          <w:rFonts w:eastAsia="Calibri" w:cs="Times New Roman"/>
        </w:rPr>
      </w:pPr>
      <w:r w:rsidRPr="0069508F">
        <w:rPr>
          <w:rFonts w:eastAsia="Calibri" w:cs="Times New Roman"/>
        </w:rPr>
        <w:t>All individuals whose annual monitor reading exceeds 5 mSv must wear extremity monitors. This may include individuals involved in the administration of therapeutic doses of radioactive materials.</w:t>
      </w:r>
    </w:p>
    <w:p w14:paraId="4E05F124" w14:textId="77777777" w:rsidR="00835AED" w:rsidRPr="0069508F" w:rsidRDefault="00835AED" w:rsidP="00835AED">
      <w:pPr>
        <w:numPr>
          <w:ilvl w:val="0"/>
          <w:numId w:val="31"/>
        </w:numPr>
        <w:spacing w:after="160" w:line="259" w:lineRule="auto"/>
        <w:contextualSpacing/>
        <w:rPr>
          <w:rFonts w:eastAsia="Calibri" w:cs="Times New Roman"/>
        </w:rPr>
      </w:pPr>
      <w:r w:rsidRPr="0069508F">
        <w:rPr>
          <w:rFonts w:eastAsia="Calibri" w:cs="Times New Roman"/>
        </w:rPr>
        <w:t>All individuals whose hands may be unavoidably placed in the primary beam (</w:t>
      </w:r>
      <w:proofErr w:type="spellStart"/>
      <w:proofErr w:type="gramStart"/>
      <w:r w:rsidRPr="0069508F">
        <w:rPr>
          <w:rFonts w:eastAsia="Calibri" w:cs="Times New Roman"/>
        </w:rPr>
        <w:t>eg</w:t>
      </w:r>
      <w:proofErr w:type="spellEnd"/>
      <w:proofErr w:type="gramEnd"/>
      <w:r w:rsidRPr="0069508F">
        <w:rPr>
          <w:rFonts w:eastAsia="Calibri" w:cs="Times New Roman"/>
        </w:rPr>
        <w:t xml:space="preserve"> in some interventional radiology) must wear extremity monitors – at least for an annual check on doses over a four-week period.</w:t>
      </w:r>
    </w:p>
    <w:p w14:paraId="5500C5FF" w14:textId="77777777" w:rsidR="00835AED" w:rsidRPr="0069508F" w:rsidRDefault="00835AED" w:rsidP="00835AED">
      <w:pPr>
        <w:numPr>
          <w:ilvl w:val="0"/>
          <w:numId w:val="31"/>
        </w:numPr>
        <w:spacing w:after="160" w:line="259" w:lineRule="auto"/>
        <w:contextualSpacing/>
        <w:rPr>
          <w:rFonts w:eastAsia="Calibri" w:cs="Times New Roman"/>
        </w:rPr>
      </w:pPr>
      <w:r w:rsidRPr="0069508F">
        <w:rPr>
          <w:rFonts w:eastAsia="Calibri" w:cs="Times New Roman"/>
        </w:rPr>
        <w:t>Research workers and other individuals performing new or novel work with radioactive materials should wear extremity monitors (where these are available for the type and energy of radiation in use).</w:t>
      </w:r>
    </w:p>
    <w:p w14:paraId="19B8B243" w14:textId="77777777" w:rsidR="00835AED" w:rsidRPr="0069508F" w:rsidRDefault="00835AED" w:rsidP="00835AED">
      <w:pPr>
        <w:numPr>
          <w:ilvl w:val="0"/>
          <w:numId w:val="31"/>
        </w:numPr>
        <w:spacing w:after="240" w:line="259" w:lineRule="auto"/>
        <w:contextualSpacing/>
        <w:rPr>
          <w:rFonts w:eastAsia="Calibri" w:cs="Times New Roman"/>
        </w:rPr>
      </w:pPr>
      <w:r w:rsidRPr="0069508F">
        <w:rPr>
          <w:rFonts w:eastAsia="Calibri" w:cs="Times New Roman"/>
        </w:rPr>
        <w:lastRenderedPageBreak/>
        <w:t xml:space="preserve">Operators of XRD and XRF units, particularly hand-held </w:t>
      </w:r>
      <w:proofErr w:type="gramStart"/>
      <w:r w:rsidRPr="0069508F">
        <w:rPr>
          <w:rFonts w:eastAsia="Calibri" w:cs="Times New Roman"/>
        </w:rPr>
        <w:t>units</w:t>
      </w:r>
      <w:proofErr w:type="gramEnd"/>
      <w:r w:rsidRPr="0069508F">
        <w:rPr>
          <w:rFonts w:eastAsia="Calibri" w:cs="Times New Roman"/>
        </w:rPr>
        <w:t xml:space="preserve"> or those units without sample auto-changing, should wear extremity monitors.</w:t>
      </w:r>
    </w:p>
    <w:p w14:paraId="5D9B7A06" w14:textId="77777777" w:rsidR="00835AED" w:rsidRPr="0069508F" w:rsidRDefault="00835AED" w:rsidP="00835AED">
      <w:pPr>
        <w:pStyle w:val="Heading2"/>
        <w:ind w:left="0"/>
      </w:pPr>
      <w:bookmarkStart w:id="23" w:name="_Toc99722092"/>
      <w:bookmarkStart w:id="24" w:name="_Toc99722376"/>
      <w:bookmarkStart w:id="25" w:name="_Toc99722458"/>
      <w:bookmarkStart w:id="26" w:name="_Toc99723479"/>
      <w:r w:rsidRPr="0069508F">
        <w:t>Wearing location for monitors</w:t>
      </w:r>
      <w:bookmarkEnd w:id="23"/>
      <w:bookmarkEnd w:id="24"/>
      <w:bookmarkEnd w:id="25"/>
      <w:bookmarkEnd w:id="26"/>
    </w:p>
    <w:p w14:paraId="30A50F2C" w14:textId="77777777" w:rsidR="00835AED" w:rsidRPr="0069508F" w:rsidRDefault="00835AED" w:rsidP="00835AED">
      <w:pPr>
        <w:spacing w:after="160" w:line="259" w:lineRule="auto"/>
        <w:rPr>
          <w:rFonts w:eastAsia="Calibri" w:cs="Times New Roman"/>
        </w:rPr>
      </w:pPr>
      <w:r w:rsidRPr="0069508F">
        <w:rPr>
          <w:rFonts w:eastAsia="Calibri" w:cs="Times New Roman"/>
        </w:rPr>
        <w:t>Waist or chest is the usual wearing location. The service provider should provide further advice, (if required). The service provider uses a formula to calculate individual radiation dose. This formula generally assumes that the monitor is worn under any protective clothing. In medical situations, where two monitors are worn, one should be under protective clothing and the other outside, at collar level.</w:t>
      </w:r>
    </w:p>
    <w:p w14:paraId="4743E067" w14:textId="77777777" w:rsidR="00835AED" w:rsidRPr="0069508F" w:rsidRDefault="00835AED" w:rsidP="00835AED">
      <w:pPr>
        <w:pStyle w:val="Heading2"/>
        <w:ind w:left="0"/>
      </w:pPr>
      <w:bookmarkStart w:id="27" w:name="_Toc99722093"/>
      <w:bookmarkStart w:id="28" w:name="_Toc99722377"/>
      <w:bookmarkStart w:id="29" w:name="_Toc99722459"/>
      <w:bookmarkStart w:id="30" w:name="_Toc99723480"/>
      <w:r w:rsidRPr="0069508F">
        <w:t>People working at more than one location</w:t>
      </w:r>
      <w:bookmarkEnd w:id="27"/>
      <w:bookmarkEnd w:id="28"/>
      <w:bookmarkEnd w:id="29"/>
      <w:bookmarkEnd w:id="30"/>
    </w:p>
    <w:p w14:paraId="1204ABF5" w14:textId="77777777" w:rsidR="00835AED" w:rsidRPr="0069508F" w:rsidRDefault="00835AED" w:rsidP="00835AED">
      <w:pPr>
        <w:spacing w:after="160" w:line="259" w:lineRule="auto"/>
        <w:rPr>
          <w:rFonts w:eastAsia="Calibri" w:cs="Times New Roman"/>
        </w:rPr>
      </w:pPr>
      <w:r w:rsidRPr="0069508F">
        <w:rPr>
          <w:rFonts w:eastAsia="Calibri" w:cs="Times New Roman"/>
        </w:rPr>
        <w:t xml:space="preserve">Registered wearers working at more than one site should </w:t>
      </w:r>
      <w:proofErr w:type="gramStart"/>
      <w:r w:rsidRPr="0069508F">
        <w:rPr>
          <w:rFonts w:eastAsia="Calibri" w:cs="Times New Roman"/>
        </w:rPr>
        <w:t>take into account</w:t>
      </w:r>
      <w:proofErr w:type="gramEnd"/>
      <w:r w:rsidRPr="0069508F">
        <w:rPr>
          <w:rFonts w:eastAsia="Calibri" w:cs="Times New Roman"/>
        </w:rPr>
        <w:t xml:space="preserve"> their total radiation exposure when the wearing period is being determined.</w:t>
      </w:r>
    </w:p>
    <w:p w14:paraId="584595FE" w14:textId="77777777" w:rsidR="00835AED" w:rsidRPr="0069508F" w:rsidRDefault="00835AED" w:rsidP="00835AED">
      <w:pPr>
        <w:pStyle w:val="Heading2"/>
        <w:ind w:left="0"/>
      </w:pPr>
      <w:bookmarkStart w:id="31" w:name="_Toc99722094"/>
      <w:bookmarkStart w:id="32" w:name="_Toc99722378"/>
      <w:bookmarkStart w:id="33" w:name="_Toc99722460"/>
      <w:bookmarkStart w:id="34" w:name="_Toc99723481"/>
      <w:r w:rsidRPr="0069508F">
        <w:t>Neutron monitoring</w:t>
      </w:r>
      <w:bookmarkEnd w:id="31"/>
      <w:bookmarkEnd w:id="32"/>
      <w:bookmarkEnd w:id="33"/>
      <w:bookmarkEnd w:id="34"/>
    </w:p>
    <w:p w14:paraId="00980FC3" w14:textId="77777777" w:rsidR="00835AED" w:rsidRPr="0069508F" w:rsidRDefault="00835AED" w:rsidP="00835AED">
      <w:pPr>
        <w:spacing w:after="160" w:line="259" w:lineRule="auto"/>
        <w:rPr>
          <w:rFonts w:eastAsia="Calibri" w:cs="Times New Roman"/>
        </w:rPr>
      </w:pPr>
      <w:r w:rsidRPr="0069508F">
        <w:rPr>
          <w:rFonts w:eastAsia="Calibri" w:cs="Times New Roman"/>
        </w:rPr>
        <w:t>Neutron monitors are required for those people operating or using linear accelerators with energies &gt;10 MeV and/or neutron sources, including Radiation Protection Unit staff and radiation consultants (if there is any likelihood of them working with neutron sources).</w:t>
      </w:r>
    </w:p>
    <w:p w14:paraId="64A16130" w14:textId="77777777" w:rsidR="00835AED" w:rsidRPr="0069508F" w:rsidRDefault="00835AED" w:rsidP="00835AED">
      <w:pPr>
        <w:pStyle w:val="Heading2"/>
        <w:ind w:left="0"/>
      </w:pPr>
      <w:bookmarkStart w:id="35" w:name="_Toc99722095"/>
      <w:bookmarkStart w:id="36" w:name="_Toc99722379"/>
      <w:bookmarkStart w:id="37" w:name="_Toc99722461"/>
      <w:bookmarkStart w:id="38" w:name="_Toc99723482"/>
      <w:r w:rsidRPr="0069508F">
        <w:t>Record keeping</w:t>
      </w:r>
      <w:bookmarkEnd w:id="35"/>
      <w:bookmarkEnd w:id="36"/>
      <w:bookmarkEnd w:id="37"/>
      <w:bookmarkEnd w:id="38"/>
    </w:p>
    <w:p w14:paraId="0E7B0E52" w14:textId="5E04B3E5" w:rsidR="00835AED" w:rsidRPr="0069508F" w:rsidRDefault="00835AED" w:rsidP="00835AED">
      <w:pPr>
        <w:rPr>
          <w:rFonts w:eastAsia="Calibri" w:cs="Times New Roman"/>
        </w:rPr>
      </w:pPr>
      <w:r w:rsidRPr="0069508F">
        <w:rPr>
          <w:rFonts w:eastAsia="Calibri" w:cs="Times New Roman"/>
        </w:rPr>
        <w:t>This is an extremely important part of any monitoring program. The monitoring program design must address the records that need to be kept and the associated procedures for record keeping and record disposal.</w:t>
      </w:r>
    </w:p>
    <w:p w14:paraId="75764EE0" w14:textId="67A9E48A" w:rsidR="00835AED" w:rsidRPr="0069508F" w:rsidRDefault="00835AED">
      <w:pPr>
        <w:rPr>
          <w:rFonts w:eastAsia="Calibri" w:cs="Times New Roman"/>
        </w:rPr>
      </w:pPr>
      <w:r w:rsidRPr="0069508F">
        <w:rPr>
          <w:rFonts w:eastAsia="Calibri" w:cs="Times New Roman"/>
        </w:rPr>
        <w:br w:type="page"/>
      </w:r>
    </w:p>
    <w:p w14:paraId="3101F64B" w14:textId="2B8F6EE3" w:rsidR="000D5D58" w:rsidRPr="000D5D58" w:rsidRDefault="006D7254" w:rsidP="000D5D58">
      <w:pPr>
        <w:pStyle w:val="Heading2"/>
      </w:pPr>
      <w:bookmarkStart w:id="39" w:name="_Toc99722096"/>
      <w:bookmarkStart w:id="40" w:name="_Toc99722380"/>
      <w:bookmarkStart w:id="41" w:name="_Toc99722462"/>
      <w:bookmarkStart w:id="42" w:name="_Toc99723483"/>
      <w:r w:rsidRPr="0069508F">
        <w:lastRenderedPageBreak/>
        <w:t xml:space="preserve">Table </w:t>
      </w:r>
      <w:fldSimple w:instr=" SEQ Table \* ARABIC ">
        <w:r w:rsidR="00A2286E">
          <w:rPr>
            <w:noProof/>
          </w:rPr>
          <w:t>1</w:t>
        </w:r>
      </w:fldSimple>
      <w:r w:rsidRPr="0069508F">
        <w:t xml:space="preserve"> </w:t>
      </w:r>
      <w:r w:rsidR="007E5AE0" w:rsidRPr="0069508F">
        <w:t xml:space="preserve">- </w:t>
      </w:r>
      <w:r w:rsidRPr="0069508F">
        <w:t>Recommendations for personal monitoring wearing periods in Tasmania</w:t>
      </w:r>
      <w:bookmarkEnd w:id="39"/>
      <w:bookmarkEnd w:id="40"/>
      <w:bookmarkEnd w:id="41"/>
      <w:bookmarkEnd w:id="42"/>
    </w:p>
    <w:tbl>
      <w:tblPr>
        <w:tblStyle w:val="GridTable1Light-Accent1"/>
        <w:tblW w:w="9249" w:type="dxa"/>
        <w:tblInd w:w="-147" w:type="dxa"/>
        <w:tblLayout w:type="fixed"/>
        <w:tblLook w:val="04A0" w:firstRow="1" w:lastRow="0" w:firstColumn="1" w:lastColumn="0" w:noHBand="0" w:noVBand="1"/>
        <w:tblCaption w:val="Table 1 - Recommendations for personal monitoring wearing periods in Tasmania"/>
      </w:tblPr>
      <w:tblGrid>
        <w:gridCol w:w="2127"/>
        <w:gridCol w:w="2693"/>
        <w:gridCol w:w="1843"/>
        <w:gridCol w:w="2586"/>
      </w:tblGrid>
      <w:tr w:rsidR="0040564A" w:rsidRPr="0069508F" w14:paraId="397C788F" w14:textId="77777777" w:rsidTr="000D5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3BDFD17" w14:textId="6EC30FF1" w:rsidR="006D7254" w:rsidRPr="0069508F" w:rsidRDefault="006D7254" w:rsidP="00345BD5">
            <w:pPr>
              <w:jc w:val="left"/>
              <w:rPr>
                <w:color w:val="000000" w:themeColor="text1"/>
              </w:rPr>
            </w:pPr>
            <w:r w:rsidRPr="0069508F">
              <w:rPr>
                <w:color w:val="000000" w:themeColor="text1"/>
              </w:rPr>
              <w:t>Practice</w:t>
            </w:r>
          </w:p>
        </w:tc>
        <w:tc>
          <w:tcPr>
            <w:tcW w:w="2693" w:type="dxa"/>
          </w:tcPr>
          <w:p w14:paraId="3AA32CE1" w14:textId="4098E1E1" w:rsidR="006D7254" w:rsidRPr="0069508F" w:rsidRDefault="006D7254" w:rsidP="0040564A">
            <w:pPr>
              <w:jc w:val="left"/>
              <w:cnfStyle w:val="100000000000" w:firstRow="1" w:lastRow="0" w:firstColumn="0" w:lastColumn="0" w:oddVBand="0" w:evenVBand="0" w:oddHBand="0" w:evenHBand="0" w:firstRowFirstColumn="0" w:firstRowLastColumn="0" w:lastRowFirstColumn="0" w:lastRowLastColumn="0"/>
            </w:pPr>
            <w:r w:rsidRPr="0069508F">
              <w:t xml:space="preserve">Typical </w:t>
            </w:r>
            <w:r w:rsidR="00DC2EA4" w:rsidRPr="0069508F">
              <w:t>a</w:t>
            </w:r>
            <w:r w:rsidRPr="0069508F">
              <w:t xml:space="preserve">nnual </w:t>
            </w:r>
            <w:r w:rsidR="00DC2EA4" w:rsidRPr="0069508F">
              <w:t>r</w:t>
            </w:r>
            <w:r w:rsidRPr="0069508F">
              <w:t>adiation dose</w:t>
            </w:r>
          </w:p>
        </w:tc>
        <w:tc>
          <w:tcPr>
            <w:tcW w:w="1843" w:type="dxa"/>
          </w:tcPr>
          <w:p w14:paraId="38055145" w14:textId="18A495DC" w:rsidR="006D7254" w:rsidRPr="0069508F" w:rsidRDefault="006D7254" w:rsidP="0040564A">
            <w:pPr>
              <w:jc w:val="left"/>
              <w:cnfStyle w:val="100000000000" w:firstRow="1" w:lastRow="0" w:firstColumn="0" w:lastColumn="0" w:oddVBand="0" w:evenVBand="0" w:oddHBand="0" w:evenHBand="0" w:firstRowFirstColumn="0" w:firstRowLastColumn="0" w:lastRowFirstColumn="0" w:lastRowLastColumn="0"/>
            </w:pPr>
            <w:r w:rsidRPr="0069508F">
              <w:t xml:space="preserve">Recommended </w:t>
            </w:r>
            <w:r w:rsidR="007E5AE0" w:rsidRPr="0069508F">
              <w:t>w</w:t>
            </w:r>
            <w:r w:rsidRPr="0069508F">
              <w:t>earing period</w:t>
            </w:r>
            <w:r w:rsidR="007E5AE0" w:rsidRPr="0069508F">
              <w:t xml:space="preserve"> </w:t>
            </w:r>
          </w:p>
        </w:tc>
        <w:tc>
          <w:tcPr>
            <w:tcW w:w="2586" w:type="dxa"/>
          </w:tcPr>
          <w:p w14:paraId="3F0B8F12" w14:textId="349F855F" w:rsidR="006D7254" w:rsidRPr="0069508F" w:rsidRDefault="006D7254" w:rsidP="0040564A">
            <w:pPr>
              <w:jc w:val="left"/>
              <w:cnfStyle w:val="100000000000" w:firstRow="1" w:lastRow="0" w:firstColumn="0" w:lastColumn="0" w:oddVBand="0" w:evenVBand="0" w:oddHBand="0" w:evenHBand="0" w:firstRowFirstColumn="0" w:firstRowLastColumn="0" w:lastRowFirstColumn="0" w:lastRowLastColumn="0"/>
            </w:pPr>
            <w:r w:rsidRPr="0069508F">
              <w:t>Comments</w:t>
            </w:r>
          </w:p>
        </w:tc>
      </w:tr>
      <w:tr w:rsidR="0040564A" w:rsidRPr="0069508F" w14:paraId="62C63C49"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2D996642" w14:textId="697CD4FD" w:rsidR="00DC2EA4" w:rsidRPr="0069508F" w:rsidRDefault="00DC2EA4" w:rsidP="00345BD5">
            <w:pPr>
              <w:pStyle w:val="Heading3"/>
              <w:jc w:val="left"/>
              <w:outlineLvl w:val="2"/>
            </w:pPr>
            <w:bookmarkStart w:id="43" w:name="_Toc99723484"/>
            <w:r w:rsidRPr="0069508F">
              <w:t>Nuclear medicine</w:t>
            </w:r>
            <w:bookmarkEnd w:id="43"/>
            <w:r w:rsidR="000D5D58">
              <w:t xml:space="preserve"> (technologists and physicians)</w:t>
            </w:r>
          </w:p>
        </w:tc>
        <w:tc>
          <w:tcPr>
            <w:tcW w:w="2693" w:type="dxa"/>
          </w:tcPr>
          <w:p w14:paraId="70F4BF13" w14:textId="08A9D7F2"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Annual doses &gt;5 mSv recorded and/or potential for high</w:t>
            </w:r>
            <w:r w:rsidR="0040564A" w:rsidRPr="0069508F">
              <w:t xml:space="preserve"> </w:t>
            </w:r>
            <w:r w:rsidRPr="0069508F">
              <w:t>exposures in routine work and in</w:t>
            </w:r>
            <w:r w:rsidR="0040564A" w:rsidRPr="0069508F">
              <w:t xml:space="preserve"> </w:t>
            </w:r>
            <w:r w:rsidRPr="0069508F">
              <w:t>accidents</w:t>
            </w:r>
          </w:p>
        </w:tc>
        <w:tc>
          <w:tcPr>
            <w:tcW w:w="1843" w:type="dxa"/>
          </w:tcPr>
          <w:p w14:paraId="78533894" w14:textId="38FB716A"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2 months</w:t>
            </w:r>
          </w:p>
        </w:tc>
        <w:tc>
          <w:tcPr>
            <w:tcW w:w="2586" w:type="dxa"/>
          </w:tcPr>
          <w:p w14:paraId="2BAE8F8F" w14:textId="00ECC937" w:rsidR="00DC2EA4" w:rsidRPr="0069508F" w:rsidRDefault="00DC2EA4" w:rsidP="00345BD5">
            <w:pPr>
              <w:jc w:val="left"/>
              <w:cnfStyle w:val="000000000000" w:firstRow="0" w:lastRow="0" w:firstColumn="0" w:lastColumn="0" w:oddVBand="0" w:evenVBand="0" w:oddHBand="0" w:evenHBand="0" w:firstRowFirstColumn="0" w:firstRowLastColumn="0" w:lastRowFirstColumn="0" w:lastRowLastColumn="0"/>
            </w:pPr>
            <w:r w:rsidRPr="0069508F">
              <w:t>For nuclear medicine</w:t>
            </w:r>
            <w:r w:rsidR="00345BD5">
              <w:t xml:space="preserve"> </w:t>
            </w:r>
            <w:r w:rsidRPr="0069508F">
              <w:t>technologists and</w:t>
            </w:r>
            <w:r w:rsidR="00345BD5">
              <w:t xml:space="preserve"> </w:t>
            </w:r>
            <w:r w:rsidRPr="0069508F">
              <w:t>physicians</w:t>
            </w:r>
          </w:p>
        </w:tc>
      </w:tr>
      <w:tr w:rsidR="0040564A" w:rsidRPr="0069508F" w14:paraId="317F1156" w14:textId="77777777" w:rsidTr="000D5D58">
        <w:trPr>
          <w:cantSplit/>
          <w:trHeight w:val="1531"/>
        </w:trPr>
        <w:tc>
          <w:tcPr>
            <w:cnfStyle w:val="001000000000" w:firstRow="0" w:lastRow="0" w:firstColumn="1" w:lastColumn="0" w:oddVBand="0" w:evenVBand="0" w:oddHBand="0" w:evenHBand="0" w:firstRowFirstColumn="0" w:firstRowLastColumn="0" w:lastRowFirstColumn="0" w:lastRowLastColumn="0"/>
            <w:tcW w:w="2127" w:type="dxa"/>
          </w:tcPr>
          <w:p w14:paraId="7729E9AD" w14:textId="0FE45E69" w:rsidR="00DC2EA4" w:rsidRPr="0069508F" w:rsidRDefault="00DC2EA4" w:rsidP="00345BD5">
            <w:pPr>
              <w:pStyle w:val="Heading3"/>
              <w:jc w:val="left"/>
              <w:outlineLvl w:val="2"/>
            </w:pPr>
            <w:bookmarkStart w:id="44" w:name="_Toc99723485"/>
            <w:r w:rsidRPr="0069508F">
              <w:t>Nuclear medicine</w:t>
            </w:r>
            <w:bookmarkEnd w:id="44"/>
            <w:r w:rsidR="000D5D58">
              <w:t xml:space="preserve"> (pregnant workers)</w:t>
            </w:r>
          </w:p>
        </w:tc>
        <w:tc>
          <w:tcPr>
            <w:tcW w:w="2693" w:type="dxa"/>
          </w:tcPr>
          <w:p w14:paraId="7FB1850C" w14:textId="592EA8D0"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Annual doses &gt;5 mSv recorded and/or potential for high</w:t>
            </w:r>
            <w:r w:rsidR="0040564A" w:rsidRPr="0069508F">
              <w:t xml:space="preserve"> </w:t>
            </w:r>
            <w:r w:rsidRPr="0069508F">
              <w:t>exposures in routine work and in accidents</w:t>
            </w:r>
          </w:p>
        </w:tc>
        <w:tc>
          <w:tcPr>
            <w:tcW w:w="1843" w:type="dxa"/>
          </w:tcPr>
          <w:p w14:paraId="43B42A6E" w14:textId="67736B31"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1month</w:t>
            </w:r>
            <w:r w:rsidR="0040564A" w:rsidRPr="0069508F">
              <w:t xml:space="preserve"> </w:t>
            </w:r>
            <w:r w:rsidRPr="0069508F">
              <w:t>(extremity monitors</w:t>
            </w:r>
            <w:r w:rsidR="0040564A" w:rsidRPr="0069508F">
              <w:t xml:space="preserve"> </w:t>
            </w:r>
            <w:r w:rsidRPr="0069508F">
              <w:t>if dose &gt;10%</w:t>
            </w:r>
            <w:r w:rsidR="0040564A" w:rsidRPr="0069508F">
              <w:t xml:space="preserve"> </w:t>
            </w:r>
            <w:r w:rsidRPr="0069508F">
              <w:t>annual limit)</w:t>
            </w:r>
          </w:p>
        </w:tc>
        <w:tc>
          <w:tcPr>
            <w:tcW w:w="2586" w:type="dxa"/>
          </w:tcPr>
          <w:p w14:paraId="06096547" w14:textId="12692B2C" w:rsidR="00DC2EA4" w:rsidRPr="0069508F" w:rsidRDefault="00DC2EA4" w:rsidP="00345BD5">
            <w:pPr>
              <w:jc w:val="left"/>
              <w:cnfStyle w:val="000000000000" w:firstRow="0" w:lastRow="0" w:firstColumn="0" w:lastColumn="0" w:oddVBand="0" w:evenVBand="0" w:oddHBand="0" w:evenHBand="0" w:firstRowFirstColumn="0" w:firstRowLastColumn="0" w:lastRowFirstColumn="0" w:lastRowLastColumn="0"/>
            </w:pPr>
            <w:r w:rsidRPr="0069508F">
              <w:t>For pregnant workers</w:t>
            </w:r>
            <w:r w:rsidR="00345BD5">
              <w:t xml:space="preserve"> </w:t>
            </w:r>
            <w:r w:rsidRPr="0069508F">
              <w:t>(See ARPANSA</w:t>
            </w:r>
            <w:r w:rsidR="00345BD5">
              <w:t xml:space="preserve"> </w:t>
            </w:r>
            <w:r w:rsidRPr="0069508F">
              <w:t>publication RPS 14.2)</w:t>
            </w:r>
          </w:p>
        </w:tc>
      </w:tr>
      <w:tr w:rsidR="0040564A" w:rsidRPr="0069508F" w14:paraId="0AD2A3EA"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44664DD3" w14:textId="5010C27A" w:rsidR="00DC2EA4" w:rsidRPr="0069508F" w:rsidRDefault="00DC2EA4" w:rsidP="00345BD5">
            <w:pPr>
              <w:pStyle w:val="Heading3"/>
              <w:jc w:val="left"/>
              <w:outlineLvl w:val="2"/>
            </w:pPr>
            <w:bookmarkStart w:id="45" w:name="_Toc99723486"/>
            <w:r w:rsidRPr="0069508F">
              <w:t>Industrial radiography</w:t>
            </w:r>
            <w:bookmarkEnd w:id="45"/>
          </w:p>
        </w:tc>
        <w:tc>
          <w:tcPr>
            <w:tcW w:w="2693" w:type="dxa"/>
          </w:tcPr>
          <w:p w14:paraId="23C47DA2" w14:textId="213FA506"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Annual doses &gt;5 mSv have been recorded and there is the potential for high exposures in routine work and in accidents</w:t>
            </w:r>
          </w:p>
        </w:tc>
        <w:tc>
          <w:tcPr>
            <w:tcW w:w="1843" w:type="dxa"/>
          </w:tcPr>
          <w:p w14:paraId="44146B7F" w14:textId="47935325"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1 month</w:t>
            </w:r>
          </w:p>
        </w:tc>
        <w:tc>
          <w:tcPr>
            <w:tcW w:w="2586" w:type="dxa"/>
          </w:tcPr>
          <w:p w14:paraId="5E6CB117" w14:textId="747DCDB8" w:rsidR="00DC2EA4"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No comments</w:t>
            </w:r>
          </w:p>
        </w:tc>
      </w:tr>
      <w:tr w:rsidR="0040564A" w:rsidRPr="0069508F" w14:paraId="433EC483"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2FEBE57F" w14:textId="2E019771" w:rsidR="00DC2EA4" w:rsidRPr="0069508F" w:rsidRDefault="00DC2EA4" w:rsidP="00345BD5">
            <w:pPr>
              <w:pStyle w:val="Heading3"/>
              <w:jc w:val="left"/>
              <w:outlineLvl w:val="2"/>
            </w:pPr>
            <w:bookmarkStart w:id="46" w:name="_Toc99723487"/>
            <w:r w:rsidRPr="0069508F">
              <w:t>Blood irradiator</w:t>
            </w:r>
            <w:bookmarkEnd w:id="46"/>
          </w:p>
        </w:tc>
        <w:tc>
          <w:tcPr>
            <w:tcW w:w="2693" w:type="dxa"/>
          </w:tcPr>
          <w:p w14:paraId="54FECC49" w14:textId="6E0F0B9A"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Annual doses &lt;1 mSv but possibility of high exposures in accidents</w:t>
            </w:r>
          </w:p>
        </w:tc>
        <w:tc>
          <w:tcPr>
            <w:tcW w:w="1843" w:type="dxa"/>
          </w:tcPr>
          <w:p w14:paraId="4DEFDFEA" w14:textId="6FC5C087"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2 months</w:t>
            </w:r>
          </w:p>
        </w:tc>
        <w:tc>
          <w:tcPr>
            <w:tcW w:w="2586" w:type="dxa"/>
          </w:tcPr>
          <w:p w14:paraId="066DF438" w14:textId="77777777"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For area monitor in irradiator room, RSO and deputy RSO</w:t>
            </w:r>
          </w:p>
        </w:tc>
      </w:tr>
      <w:tr w:rsidR="0040564A" w:rsidRPr="0069508F" w14:paraId="670F11AB"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26560A13" w14:textId="0E1B8AB8" w:rsidR="00DC2EA4" w:rsidRPr="0069508F" w:rsidRDefault="00DC2EA4" w:rsidP="00345BD5">
            <w:pPr>
              <w:pStyle w:val="Heading3"/>
              <w:jc w:val="left"/>
              <w:outlineLvl w:val="2"/>
            </w:pPr>
            <w:bookmarkStart w:id="47" w:name="_Toc99723488"/>
            <w:r w:rsidRPr="0069508F">
              <w:t>Radiotherapy</w:t>
            </w:r>
            <w:bookmarkEnd w:id="47"/>
          </w:p>
        </w:tc>
        <w:tc>
          <w:tcPr>
            <w:tcW w:w="2693" w:type="dxa"/>
          </w:tcPr>
          <w:p w14:paraId="4DCD4E39" w14:textId="77777777"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Annual doses &lt;1 mSv but possibility of high inadvertent exposures</w:t>
            </w:r>
          </w:p>
        </w:tc>
        <w:tc>
          <w:tcPr>
            <w:tcW w:w="1843" w:type="dxa"/>
          </w:tcPr>
          <w:p w14:paraId="583EB9F2" w14:textId="1501C9B0"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3 months</w:t>
            </w:r>
          </w:p>
        </w:tc>
        <w:tc>
          <w:tcPr>
            <w:tcW w:w="2586" w:type="dxa"/>
          </w:tcPr>
          <w:p w14:paraId="79705F90" w14:textId="77777777"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proofErr w:type="gramStart"/>
            <w:r w:rsidRPr="0069508F">
              <w:t>Plus</w:t>
            </w:r>
            <w:proofErr w:type="gramEnd"/>
            <w:r w:rsidRPr="0069508F">
              <w:t xml:space="preserve"> supplementary monitoring, </w:t>
            </w:r>
            <w:proofErr w:type="spellStart"/>
            <w:r w:rsidRPr="0069508F">
              <w:t>eg</w:t>
            </w:r>
            <w:proofErr w:type="spellEnd"/>
            <w:r w:rsidRPr="0069508F">
              <w:t xml:space="preserve"> using direct reading dosimeters, for brachytherapy</w:t>
            </w:r>
          </w:p>
        </w:tc>
      </w:tr>
      <w:tr w:rsidR="0040564A" w:rsidRPr="0069508F" w14:paraId="1D55B4E3"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6B1513E9" w14:textId="51A55EF4" w:rsidR="00DC2EA4" w:rsidRPr="0069508F" w:rsidRDefault="00DC2EA4" w:rsidP="00345BD5">
            <w:pPr>
              <w:pStyle w:val="Heading3"/>
              <w:jc w:val="left"/>
              <w:outlineLvl w:val="2"/>
            </w:pPr>
            <w:bookmarkStart w:id="48" w:name="_Toc99723489"/>
            <w:r w:rsidRPr="0069508F">
              <w:t xml:space="preserve">Diagnostic radiology </w:t>
            </w:r>
            <w:r w:rsidR="0040564A" w:rsidRPr="0069508F">
              <w:t xml:space="preserve">- </w:t>
            </w:r>
            <w:r w:rsidRPr="0069508F">
              <w:t>interventional</w:t>
            </w:r>
            <w:bookmarkEnd w:id="48"/>
          </w:p>
        </w:tc>
        <w:tc>
          <w:tcPr>
            <w:tcW w:w="2693" w:type="dxa"/>
          </w:tcPr>
          <w:p w14:paraId="22A9CB41" w14:textId="77777777"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Annual doses &gt;5 mSv possible - potential for high exposures in routine work</w:t>
            </w:r>
          </w:p>
        </w:tc>
        <w:tc>
          <w:tcPr>
            <w:tcW w:w="1843" w:type="dxa"/>
          </w:tcPr>
          <w:p w14:paraId="66E74EF5" w14:textId="26E909BA"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2 months</w:t>
            </w:r>
          </w:p>
        </w:tc>
        <w:tc>
          <w:tcPr>
            <w:tcW w:w="2586" w:type="dxa"/>
          </w:tcPr>
          <w:p w14:paraId="52CCFEBF" w14:textId="77777777" w:rsidR="00DC2EA4" w:rsidRPr="0069508F" w:rsidRDefault="00DC2EA4" w:rsidP="0040564A">
            <w:pPr>
              <w:jc w:val="left"/>
              <w:cnfStyle w:val="000000000000" w:firstRow="0" w:lastRow="0" w:firstColumn="0" w:lastColumn="0" w:oddVBand="0" w:evenVBand="0" w:oddHBand="0" w:evenHBand="0" w:firstRowFirstColumn="0" w:firstRowLastColumn="0" w:lastRowFirstColumn="0" w:lastRowLastColumn="0"/>
            </w:pPr>
            <w:r w:rsidRPr="0069508F">
              <w:t>Personal monitoring is mandatory for radiologist/cardiologist. Two monitors should be worn – one below protective clothing and one outside protective clothing at collar level, to assess the eye dose. Also, see ‘People requiring personal monitoring’</w:t>
            </w:r>
          </w:p>
        </w:tc>
      </w:tr>
      <w:tr w:rsidR="0040564A" w:rsidRPr="0069508F" w14:paraId="18BEEEA8"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7C093796" w14:textId="4439E1E0" w:rsidR="0040564A" w:rsidRPr="0069508F" w:rsidRDefault="0040564A" w:rsidP="00345BD5">
            <w:pPr>
              <w:pStyle w:val="Heading3"/>
              <w:jc w:val="left"/>
              <w:outlineLvl w:val="2"/>
            </w:pPr>
            <w:bookmarkStart w:id="49" w:name="_Toc99723490"/>
            <w:r w:rsidRPr="0069508F">
              <w:t>Service engineers and/or consultants (medical, dental, industry and research)</w:t>
            </w:r>
            <w:bookmarkEnd w:id="49"/>
          </w:p>
        </w:tc>
        <w:tc>
          <w:tcPr>
            <w:tcW w:w="2693" w:type="dxa"/>
          </w:tcPr>
          <w:p w14:paraId="08A66E81"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Annual doses &lt;1 mSv but potential for inadvertent exposure, especially when investigating equipment malfunction</w:t>
            </w:r>
          </w:p>
        </w:tc>
        <w:tc>
          <w:tcPr>
            <w:tcW w:w="1843" w:type="dxa"/>
          </w:tcPr>
          <w:p w14:paraId="73EA0BD3" w14:textId="4CA8DC66"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2 months</w:t>
            </w:r>
          </w:p>
        </w:tc>
        <w:tc>
          <w:tcPr>
            <w:tcW w:w="2586" w:type="dxa"/>
          </w:tcPr>
          <w:p w14:paraId="74D489FF" w14:textId="5548F015"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No comments</w:t>
            </w:r>
          </w:p>
        </w:tc>
      </w:tr>
      <w:tr w:rsidR="0040564A" w:rsidRPr="0069508F" w14:paraId="1961BB79"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6FD64F9C" w14:textId="21489BFA" w:rsidR="0040564A" w:rsidRPr="0069508F" w:rsidRDefault="0040564A" w:rsidP="00345BD5">
            <w:pPr>
              <w:pStyle w:val="Heading3"/>
              <w:jc w:val="left"/>
              <w:outlineLvl w:val="2"/>
            </w:pPr>
            <w:bookmarkStart w:id="50" w:name="_Toc99723491"/>
            <w:r w:rsidRPr="0069508F">
              <w:t>Diagnostic radiology – small hospital</w:t>
            </w:r>
            <w:bookmarkEnd w:id="50"/>
          </w:p>
        </w:tc>
        <w:tc>
          <w:tcPr>
            <w:tcW w:w="2693" w:type="dxa"/>
          </w:tcPr>
          <w:p w14:paraId="2EB1693A" w14:textId="3828152E"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Annual doses &gt;250 µ</w:t>
            </w:r>
            <w:proofErr w:type="spellStart"/>
            <w:r w:rsidRPr="0069508F">
              <w:t>Sv</w:t>
            </w:r>
            <w:proofErr w:type="spellEnd"/>
            <w:r w:rsidRPr="0069508F">
              <w:t xml:space="preserve"> and &lt;1 mSv and exposures uniform throughout year and high inadvertent exposures are unlikely</w:t>
            </w:r>
          </w:p>
        </w:tc>
        <w:tc>
          <w:tcPr>
            <w:tcW w:w="1843" w:type="dxa"/>
          </w:tcPr>
          <w:p w14:paraId="671EAAAA" w14:textId="2FE2F080"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3 months</w:t>
            </w:r>
          </w:p>
        </w:tc>
        <w:tc>
          <w:tcPr>
            <w:tcW w:w="2586" w:type="dxa"/>
          </w:tcPr>
          <w:p w14:paraId="1E86185F" w14:textId="51951E5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No comments</w:t>
            </w:r>
          </w:p>
        </w:tc>
      </w:tr>
      <w:tr w:rsidR="0040564A" w:rsidRPr="0069508F" w14:paraId="5135A82A"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4B5BA043" w14:textId="25844AED" w:rsidR="0040564A" w:rsidRPr="0069508F" w:rsidRDefault="0040564A" w:rsidP="00345BD5">
            <w:pPr>
              <w:pStyle w:val="Heading3"/>
              <w:jc w:val="left"/>
              <w:outlineLvl w:val="2"/>
            </w:pPr>
            <w:bookmarkStart w:id="51" w:name="_Toc99723492"/>
            <w:r w:rsidRPr="0069508F">
              <w:lastRenderedPageBreak/>
              <w:t>*Diagnostic radiology</w:t>
            </w:r>
            <w:bookmarkEnd w:id="51"/>
            <w:r w:rsidRPr="0069508F">
              <w:t xml:space="preserve"> </w:t>
            </w:r>
            <w:bookmarkStart w:id="52" w:name="_Toc99723493"/>
            <w:r w:rsidRPr="0069508F">
              <w:t>– large</w:t>
            </w:r>
            <w:r w:rsidR="00835AED" w:rsidRPr="0069508F">
              <w:t xml:space="preserve"> </w:t>
            </w:r>
            <w:r w:rsidRPr="0069508F">
              <w:t>hospital/private practice/other hospitals (excluding interventional procedures)</w:t>
            </w:r>
            <w:bookmarkEnd w:id="52"/>
          </w:p>
        </w:tc>
        <w:tc>
          <w:tcPr>
            <w:tcW w:w="2693" w:type="dxa"/>
          </w:tcPr>
          <w:p w14:paraId="151FFB31" w14:textId="35BB611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Annual doses &gt;250 µ</w:t>
            </w:r>
            <w:proofErr w:type="spellStart"/>
            <w:r w:rsidRPr="0069508F">
              <w:t>Sv</w:t>
            </w:r>
            <w:proofErr w:type="spellEnd"/>
            <w:r w:rsidRPr="0069508F">
              <w:t xml:space="preserve"> and &lt;1 mSv and exposures uniform throughout year and high inadvertent exposures are unlikely</w:t>
            </w:r>
          </w:p>
        </w:tc>
        <w:tc>
          <w:tcPr>
            <w:tcW w:w="1843" w:type="dxa"/>
          </w:tcPr>
          <w:p w14:paraId="06F439E8" w14:textId="12439DDC"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3 months</w:t>
            </w:r>
          </w:p>
        </w:tc>
        <w:tc>
          <w:tcPr>
            <w:tcW w:w="2586" w:type="dxa"/>
          </w:tcPr>
          <w:p w14:paraId="625E281C"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Also, see ‘People requiring personal monitoring’.</w:t>
            </w:r>
          </w:p>
        </w:tc>
      </w:tr>
      <w:tr w:rsidR="0040564A" w:rsidRPr="0069508F" w14:paraId="3ED85FB8"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04663ED2" w14:textId="3A245853" w:rsidR="0040564A" w:rsidRPr="0069508F" w:rsidRDefault="0040564A" w:rsidP="00345BD5">
            <w:pPr>
              <w:pStyle w:val="Heading3"/>
              <w:jc w:val="left"/>
              <w:outlineLvl w:val="2"/>
            </w:pPr>
            <w:bookmarkStart w:id="53" w:name="_Toc99723494"/>
            <w:r w:rsidRPr="0069508F">
              <w:t>Visiting medical specialists (</w:t>
            </w:r>
            <w:proofErr w:type="gramStart"/>
            <w:r w:rsidRPr="0069508F">
              <w:t>e.g.</w:t>
            </w:r>
            <w:proofErr w:type="gramEnd"/>
            <w:r w:rsidR="00835AED" w:rsidRPr="0069508F">
              <w:t xml:space="preserve"> </w:t>
            </w:r>
            <w:r w:rsidRPr="0069508F">
              <w:t>use</w:t>
            </w:r>
            <w:r w:rsidR="00835AED" w:rsidRPr="0069508F">
              <w:t xml:space="preserve"> </w:t>
            </w:r>
            <w:r w:rsidRPr="0069508F">
              <w:t xml:space="preserve">of </w:t>
            </w:r>
            <w:proofErr w:type="spellStart"/>
            <w:r w:rsidRPr="0069508F">
              <w:t>lithotriptor</w:t>
            </w:r>
            <w:proofErr w:type="spellEnd"/>
            <w:r w:rsidRPr="0069508F">
              <w:t xml:space="preserve"> at specified intervals)</w:t>
            </w:r>
            <w:bookmarkEnd w:id="53"/>
          </w:p>
        </w:tc>
        <w:tc>
          <w:tcPr>
            <w:tcW w:w="2693" w:type="dxa"/>
          </w:tcPr>
          <w:p w14:paraId="55267D9D" w14:textId="52E9E3A4" w:rsidR="0040564A" w:rsidRPr="0069508F" w:rsidRDefault="0040564A" w:rsidP="00345BD5">
            <w:pPr>
              <w:jc w:val="left"/>
              <w:cnfStyle w:val="000000000000" w:firstRow="0" w:lastRow="0" w:firstColumn="0" w:lastColumn="0" w:oddVBand="0" w:evenVBand="0" w:oddHBand="0" w:evenHBand="0" w:firstRowFirstColumn="0" w:firstRowLastColumn="0" w:lastRowFirstColumn="0" w:lastRowLastColumn="0"/>
            </w:pPr>
            <w:r w:rsidRPr="0069508F">
              <w:t>Annual exposures received as</w:t>
            </w:r>
            <w:r w:rsidR="00345BD5">
              <w:t xml:space="preserve"> </w:t>
            </w:r>
            <w:r w:rsidRPr="0069508F">
              <w:t>an accumulation of doses, each</w:t>
            </w:r>
            <w:r w:rsidR="00345BD5">
              <w:t xml:space="preserve"> </w:t>
            </w:r>
            <w:r w:rsidRPr="0069508F">
              <w:t>over a short time interval</w:t>
            </w:r>
          </w:p>
        </w:tc>
        <w:tc>
          <w:tcPr>
            <w:tcW w:w="1843" w:type="dxa"/>
          </w:tcPr>
          <w:p w14:paraId="40ADD616" w14:textId="2B0B3113"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3 months</w:t>
            </w:r>
          </w:p>
        </w:tc>
        <w:tc>
          <w:tcPr>
            <w:tcW w:w="2586" w:type="dxa"/>
          </w:tcPr>
          <w:p w14:paraId="5C803E06" w14:textId="7BEDDC73" w:rsidR="0040564A" w:rsidRPr="0069508F" w:rsidRDefault="0040564A" w:rsidP="00345BD5">
            <w:pPr>
              <w:jc w:val="left"/>
              <w:cnfStyle w:val="000000000000" w:firstRow="0" w:lastRow="0" w:firstColumn="0" w:lastColumn="0" w:oddVBand="0" w:evenVBand="0" w:oddHBand="0" w:evenHBand="0" w:firstRowFirstColumn="0" w:firstRowLastColumn="0" w:lastRowFirstColumn="0" w:lastRowLastColumn="0"/>
            </w:pPr>
            <w:r w:rsidRPr="0069508F">
              <w:t>Also, see ‘People</w:t>
            </w:r>
            <w:r w:rsidR="00345BD5">
              <w:t xml:space="preserve"> </w:t>
            </w:r>
            <w:r w:rsidRPr="0069508F">
              <w:t>requiring personal</w:t>
            </w:r>
            <w:r w:rsidR="00345BD5">
              <w:t xml:space="preserve"> </w:t>
            </w:r>
            <w:r w:rsidRPr="0069508F">
              <w:t>monitoring’.</w:t>
            </w:r>
          </w:p>
        </w:tc>
      </w:tr>
      <w:tr w:rsidR="0040564A" w:rsidRPr="0069508F" w14:paraId="3B82CD9B"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7068184B" w14:textId="5F3B2BDB" w:rsidR="0040564A" w:rsidRPr="0069508F" w:rsidRDefault="0040564A" w:rsidP="00345BD5">
            <w:pPr>
              <w:pStyle w:val="Heading3"/>
              <w:jc w:val="left"/>
              <w:outlineLvl w:val="2"/>
            </w:pPr>
            <w:bookmarkStart w:id="54" w:name="_Toc99723495"/>
            <w:r w:rsidRPr="0069508F">
              <w:t>Veterinary – practices taking &gt;5 radiographs per month</w:t>
            </w:r>
            <w:bookmarkEnd w:id="54"/>
            <w:r w:rsidRPr="0069508F">
              <w:t xml:space="preserve"> </w:t>
            </w:r>
            <w:bookmarkStart w:id="55" w:name="_Toc99723496"/>
            <w:r w:rsidRPr="0069508F">
              <w:t>(particularly those where animals are manually restrained and/or involving field radiography)</w:t>
            </w:r>
            <w:bookmarkEnd w:id="55"/>
          </w:p>
        </w:tc>
        <w:tc>
          <w:tcPr>
            <w:tcW w:w="2693" w:type="dxa"/>
          </w:tcPr>
          <w:p w14:paraId="6478F73F"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Annual doses &gt;1 mSv possible, but rare, due to inadvertent exposure to the primary beam</w:t>
            </w:r>
          </w:p>
        </w:tc>
        <w:tc>
          <w:tcPr>
            <w:tcW w:w="1843" w:type="dxa"/>
          </w:tcPr>
          <w:p w14:paraId="0FB20B6C" w14:textId="62A4092B"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3 months</w:t>
            </w:r>
          </w:p>
        </w:tc>
        <w:tc>
          <w:tcPr>
            <w:tcW w:w="2586" w:type="dxa"/>
          </w:tcPr>
          <w:p w14:paraId="3C6CF86A" w14:textId="37564D06"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No comments</w:t>
            </w:r>
          </w:p>
        </w:tc>
      </w:tr>
      <w:tr w:rsidR="0040564A" w:rsidRPr="0069508F" w14:paraId="253044A2"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0CF8C199" w14:textId="1282C529" w:rsidR="0040564A" w:rsidRPr="0069508F" w:rsidRDefault="0040564A" w:rsidP="00345BD5">
            <w:pPr>
              <w:pStyle w:val="Heading3"/>
              <w:jc w:val="left"/>
              <w:outlineLvl w:val="2"/>
            </w:pPr>
            <w:bookmarkStart w:id="56" w:name="_Toc99723497"/>
            <w:r w:rsidRPr="0069508F">
              <w:t xml:space="preserve">Soil moisture and density gauge </w:t>
            </w:r>
            <w:r w:rsidR="00835AED" w:rsidRPr="0069508F">
              <w:t>u</w:t>
            </w:r>
            <w:r w:rsidRPr="0069508F">
              <w:t>sers</w:t>
            </w:r>
            <w:bookmarkEnd w:id="56"/>
          </w:p>
        </w:tc>
        <w:tc>
          <w:tcPr>
            <w:tcW w:w="2693" w:type="dxa"/>
          </w:tcPr>
          <w:p w14:paraId="3E27B717"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&gt;250 </w:t>
            </w:r>
            <w:r w:rsidRPr="0069508F">
              <w:rPr>
                <w:rFonts w:cstheme="minorHAnsi"/>
              </w:rPr>
              <w:t>µ</w:t>
            </w:r>
            <w:proofErr w:type="spellStart"/>
            <w:r w:rsidRPr="0069508F">
              <w:t>Sv</w:t>
            </w:r>
            <w:proofErr w:type="spellEnd"/>
            <w:r w:rsidRPr="0069508F">
              <w:t xml:space="preserve"> possible. High inadvertent exposures are unlikely</w:t>
            </w:r>
          </w:p>
        </w:tc>
        <w:tc>
          <w:tcPr>
            <w:tcW w:w="1843" w:type="dxa"/>
          </w:tcPr>
          <w:p w14:paraId="02F661D3" w14:textId="06E8EE4E"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3 months</w:t>
            </w:r>
            <w:r w:rsidRPr="0069508F">
              <w:rPr>
                <w:spacing w:val="-1"/>
              </w:rPr>
              <w:t xml:space="preserve"> (all</w:t>
            </w:r>
            <w:r w:rsidRPr="0069508F">
              <w:rPr>
                <w:spacing w:val="-7"/>
              </w:rPr>
              <w:t xml:space="preserve"> </w:t>
            </w:r>
            <w:r w:rsidRPr="0069508F">
              <w:t>users</w:t>
            </w:r>
            <w:r w:rsidRPr="0069508F">
              <w:rPr>
                <w:spacing w:val="-8"/>
              </w:rPr>
              <w:t xml:space="preserve"> </w:t>
            </w:r>
            <w:r w:rsidRPr="0069508F">
              <w:t>during</w:t>
            </w:r>
            <w:r w:rsidRPr="0069508F">
              <w:rPr>
                <w:spacing w:val="24"/>
                <w:w w:val="99"/>
              </w:rPr>
              <w:t xml:space="preserve"> pe</w:t>
            </w:r>
            <w:r w:rsidRPr="0069508F">
              <w:rPr>
                <w:spacing w:val="-1"/>
              </w:rPr>
              <w:t>riods</w:t>
            </w:r>
            <w:r w:rsidRPr="0069508F">
              <w:rPr>
                <w:spacing w:val="-8"/>
              </w:rPr>
              <w:t xml:space="preserve"> </w:t>
            </w:r>
            <w:r w:rsidRPr="0069508F">
              <w:t>of</w:t>
            </w:r>
            <w:r w:rsidRPr="0069508F">
              <w:rPr>
                <w:spacing w:val="-8"/>
              </w:rPr>
              <w:t xml:space="preserve"> </w:t>
            </w:r>
            <w:r w:rsidRPr="0069508F">
              <w:t>use)</w:t>
            </w:r>
          </w:p>
        </w:tc>
        <w:tc>
          <w:tcPr>
            <w:tcW w:w="2586" w:type="dxa"/>
          </w:tcPr>
          <w:p w14:paraId="41138709"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RSO</w:t>
            </w:r>
            <w:r w:rsidRPr="0069508F">
              <w:rPr>
                <w:spacing w:val="-9"/>
              </w:rPr>
              <w:t xml:space="preserve"> </w:t>
            </w:r>
            <w:r w:rsidRPr="0069508F">
              <w:t>must</w:t>
            </w:r>
            <w:r w:rsidRPr="0069508F">
              <w:rPr>
                <w:spacing w:val="-5"/>
              </w:rPr>
              <w:t xml:space="preserve"> </w:t>
            </w:r>
            <w:proofErr w:type="gramStart"/>
            <w:r w:rsidRPr="0069508F">
              <w:t>have</w:t>
            </w:r>
            <w:r w:rsidRPr="0069508F">
              <w:rPr>
                <w:spacing w:val="-7"/>
              </w:rPr>
              <w:t xml:space="preserve"> </w:t>
            </w:r>
            <w:r w:rsidRPr="0069508F">
              <w:rPr>
                <w:spacing w:val="-1"/>
              </w:rPr>
              <w:t>personal</w:t>
            </w:r>
            <w:r w:rsidRPr="0069508F">
              <w:rPr>
                <w:spacing w:val="28"/>
                <w:w w:val="99"/>
              </w:rPr>
              <w:t xml:space="preserve"> </w:t>
            </w:r>
            <w:r w:rsidRPr="0069508F">
              <w:t>monitor</w:t>
            </w:r>
            <w:r w:rsidRPr="0069508F">
              <w:rPr>
                <w:spacing w:val="-6"/>
              </w:rPr>
              <w:t xml:space="preserve"> </w:t>
            </w:r>
            <w:r w:rsidRPr="0069508F">
              <w:t>at</w:t>
            </w:r>
            <w:r w:rsidRPr="0069508F">
              <w:rPr>
                <w:spacing w:val="-4"/>
              </w:rPr>
              <w:t xml:space="preserve"> </w:t>
            </w:r>
            <w:r w:rsidRPr="0069508F">
              <w:t>all</w:t>
            </w:r>
            <w:r w:rsidRPr="0069508F">
              <w:rPr>
                <w:spacing w:val="-7"/>
              </w:rPr>
              <w:t xml:space="preserve"> </w:t>
            </w:r>
            <w:r w:rsidRPr="0069508F">
              <w:t>times</w:t>
            </w:r>
            <w:proofErr w:type="gramEnd"/>
          </w:p>
        </w:tc>
      </w:tr>
      <w:tr w:rsidR="0040564A" w:rsidRPr="0069508F" w14:paraId="3B3B62B2"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47C5B598" w14:textId="5E6F48C3" w:rsidR="0040564A" w:rsidRPr="0069508F" w:rsidRDefault="0040564A" w:rsidP="00345BD5">
            <w:pPr>
              <w:pStyle w:val="Heading3"/>
              <w:jc w:val="left"/>
              <w:outlineLvl w:val="2"/>
            </w:pPr>
            <w:bookmarkStart w:id="57" w:name="_Toc99723498"/>
            <w:r w:rsidRPr="0069508F">
              <w:t>+Research – government (excluding tritium)</w:t>
            </w:r>
            <w:bookmarkEnd w:id="57"/>
          </w:p>
        </w:tc>
        <w:tc>
          <w:tcPr>
            <w:tcW w:w="2693" w:type="dxa"/>
          </w:tcPr>
          <w:p w14:paraId="06D471A6"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generally &lt;250 </w:t>
            </w:r>
            <w:r w:rsidRPr="0069508F">
              <w:rPr>
                <w:rFonts w:cstheme="minorHAnsi"/>
              </w:rPr>
              <w:t>µ</w:t>
            </w:r>
            <w:proofErr w:type="spellStart"/>
            <w:r w:rsidRPr="0069508F">
              <w:t>Sv</w:t>
            </w:r>
            <w:proofErr w:type="spellEnd"/>
            <w:r w:rsidRPr="0069508F">
              <w:t xml:space="preserve"> and high inadvertent exposures are unlikely</w:t>
            </w:r>
          </w:p>
        </w:tc>
        <w:tc>
          <w:tcPr>
            <w:tcW w:w="1843" w:type="dxa"/>
          </w:tcPr>
          <w:p w14:paraId="0C61A6EA" w14:textId="07BA7918"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3 months (all users during periods of use)</w:t>
            </w:r>
          </w:p>
        </w:tc>
        <w:tc>
          <w:tcPr>
            <w:tcW w:w="2586" w:type="dxa"/>
          </w:tcPr>
          <w:p w14:paraId="194D0812"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Monitoring is required because work is project based and often involves novel techniques. RSO must </w:t>
            </w:r>
            <w:proofErr w:type="gramStart"/>
            <w:r w:rsidRPr="0069508F">
              <w:t>have personal monitor at all times</w:t>
            </w:r>
            <w:proofErr w:type="gramEnd"/>
          </w:p>
        </w:tc>
      </w:tr>
      <w:tr w:rsidR="0040564A" w:rsidRPr="0069508F" w14:paraId="22F435A6"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70461D6E" w14:textId="458B7997" w:rsidR="0040564A" w:rsidRPr="0069508F" w:rsidRDefault="0040564A" w:rsidP="00345BD5">
            <w:pPr>
              <w:pStyle w:val="Heading3"/>
              <w:jc w:val="left"/>
              <w:outlineLvl w:val="2"/>
            </w:pPr>
            <w:bookmarkStart w:id="58" w:name="_Toc99723499"/>
            <w:r w:rsidRPr="0069508F">
              <w:t>+Research –medical and veterinary (excluding</w:t>
            </w:r>
            <w:r w:rsidR="00835AED" w:rsidRPr="0069508F">
              <w:t xml:space="preserve"> </w:t>
            </w:r>
            <w:r w:rsidRPr="0069508F">
              <w:t>tritium)</w:t>
            </w:r>
            <w:bookmarkEnd w:id="58"/>
          </w:p>
        </w:tc>
        <w:tc>
          <w:tcPr>
            <w:tcW w:w="2693" w:type="dxa"/>
          </w:tcPr>
          <w:p w14:paraId="47CCAAC7" w14:textId="5536A323" w:rsidR="0040564A" w:rsidRPr="0069508F" w:rsidRDefault="0040564A" w:rsidP="00345BD5">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generally &lt;250 </w:t>
            </w:r>
            <w:r w:rsidRPr="0069508F">
              <w:rPr>
                <w:rFonts w:cstheme="minorHAnsi"/>
              </w:rPr>
              <w:t>µ</w:t>
            </w:r>
            <w:proofErr w:type="spellStart"/>
            <w:r w:rsidRPr="0069508F">
              <w:t>Sv</w:t>
            </w:r>
            <w:proofErr w:type="spellEnd"/>
            <w:r w:rsidRPr="0069508F">
              <w:t xml:space="preserve"> and high inadvertent exposures are unlikely</w:t>
            </w:r>
          </w:p>
        </w:tc>
        <w:tc>
          <w:tcPr>
            <w:tcW w:w="1843" w:type="dxa"/>
          </w:tcPr>
          <w:p w14:paraId="4EFCB74B" w14:textId="365E08F9" w:rsidR="0040564A" w:rsidRPr="0069508F" w:rsidRDefault="0040564A" w:rsidP="00345BD5">
            <w:pPr>
              <w:jc w:val="left"/>
              <w:cnfStyle w:val="000000000000" w:firstRow="0" w:lastRow="0" w:firstColumn="0" w:lastColumn="0" w:oddVBand="0" w:evenVBand="0" w:oddHBand="0" w:evenHBand="0" w:firstRowFirstColumn="0" w:firstRowLastColumn="0" w:lastRowFirstColumn="0" w:lastRowLastColumn="0"/>
            </w:pPr>
            <w:r w:rsidRPr="0069508F">
              <w:t>3 months (all users during</w:t>
            </w:r>
            <w:r w:rsidR="00345BD5">
              <w:t xml:space="preserve"> </w:t>
            </w:r>
            <w:r w:rsidRPr="0069508F">
              <w:t>periods of use)</w:t>
            </w:r>
          </w:p>
        </w:tc>
        <w:tc>
          <w:tcPr>
            <w:tcW w:w="2586" w:type="dxa"/>
          </w:tcPr>
          <w:p w14:paraId="1E64FABF" w14:textId="1325C1F4" w:rsidR="0040564A" w:rsidRPr="0069508F" w:rsidRDefault="0040564A" w:rsidP="00345BD5">
            <w:pPr>
              <w:jc w:val="left"/>
              <w:cnfStyle w:val="000000000000" w:firstRow="0" w:lastRow="0" w:firstColumn="0" w:lastColumn="0" w:oddVBand="0" w:evenVBand="0" w:oddHBand="0" w:evenHBand="0" w:firstRowFirstColumn="0" w:firstRowLastColumn="0" w:lastRowFirstColumn="0" w:lastRowLastColumn="0"/>
            </w:pPr>
            <w:r w:rsidRPr="0069508F">
              <w:t>Monitoring is required</w:t>
            </w:r>
            <w:r w:rsidR="00345BD5">
              <w:t xml:space="preserve"> </w:t>
            </w:r>
            <w:r w:rsidRPr="0069508F">
              <w:t>because work is project</w:t>
            </w:r>
            <w:r w:rsidR="00345BD5">
              <w:t xml:space="preserve"> </w:t>
            </w:r>
            <w:r w:rsidRPr="0069508F">
              <w:t>based and often involves novel techniques. RSO</w:t>
            </w:r>
            <w:r w:rsidR="00345BD5">
              <w:t xml:space="preserve"> </w:t>
            </w:r>
            <w:r w:rsidRPr="0069508F">
              <w:t xml:space="preserve">must </w:t>
            </w:r>
            <w:proofErr w:type="gramStart"/>
            <w:r w:rsidRPr="0069508F">
              <w:t>have personal</w:t>
            </w:r>
            <w:r w:rsidR="00345BD5">
              <w:t xml:space="preserve"> </w:t>
            </w:r>
            <w:r w:rsidRPr="0069508F">
              <w:t>monitor at all times</w:t>
            </w:r>
            <w:proofErr w:type="gramEnd"/>
          </w:p>
        </w:tc>
      </w:tr>
      <w:tr w:rsidR="0040564A" w:rsidRPr="0069508F" w14:paraId="0924ECA6"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0DBAE6FE" w14:textId="0DCF8227" w:rsidR="0040564A" w:rsidRPr="0069508F" w:rsidRDefault="0040564A" w:rsidP="00345BD5">
            <w:pPr>
              <w:pStyle w:val="Heading3"/>
              <w:jc w:val="left"/>
              <w:outlineLvl w:val="2"/>
            </w:pPr>
            <w:bookmarkStart w:id="59" w:name="_Toc99723500"/>
            <w:r w:rsidRPr="0069508F">
              <w:t>*Diagnostic radiology – other medical practices</w:t>
            </w:r>
            <w:bookmarkEnd w:id="59"/>
          </w:p>
        </w:tc>
        <w:tc>
          <w:tcPr>
            <w:tcW w:w="2693" w:type="dxa"/>
          </w:tcPr>
          <w:p w14:paraId="563C4EE7"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&lt;250 </w:t>
            </w:r>
            <w:r w:rsidRPr="0069508F">
              <w:rPr>
                <w:rFonts w:cstheme="minorHAnsi"/>
              </w:rPr>
              <w:t>µ</w:t>
            </w:r>
            <w:proofErr w:type="spellStart"/>
            <w:r w:rsidRPr="0069508F">
              <w:t>Sv</w:t>
            </w:r>
            <w:proofErr w:type="spellEnd"/>
            <w:r w:rsidRPr="0069508F">
              <w:t xml:space="preserve"> and exposures uniform throughout year and high exposures are unlikely even in an accident situation</w:t>
            </w:r>
          </w:p>
        </w:tc>
        <w:tc>
          <w:tcPr>
            <w:tcW w:w="1843" w:type="dxa"/>
          </w:tcPr>
          <w:p w14:paraId="62ABC956"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Monitoring is not mandatory</w:t>
            </w:r>
          </w:p>
        </w:tc>
        <w:tc>
          <w:tcPr>
            <w:tcW w:w="2586" w:type="dxa"/>
          </w:tcPr>
          <w:p w14:paraId="7357C4C7"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Includes GP practices. Initial verification period (one year) required</w:t>
            </w:r>
          </w:p>
        </w:tc>
      </w:tr>
      <w:tr w:rsidR="0040564A" w:rsidRPr="0069508F" w14:paraId="6B845CA9"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2A5B51E9" w14:textId="4CBF4C12" w:rsidR="0040564A" w:rsidRPr="0069508F" w:rsidRDefault="0040564A" w:rsidP="00345BD5">
            <w:pPr>
              <w:pStyle w:val="Heading3"/>
              <w:jc w:val="left"/>
              <w:outlineLvl w:val="2"/>
            </w:pPr>
            <w:bookmarkStart w:id="60" w:name="_Toc99723501"/>
            <w:r w:rsidRPr="0069508F">
              <w:lastRenderedPageBreak/>
              <w:t>Dental and dental specialties</w:t>
            </w:r>
            <w:bookmarkEnd w:id="60"/>
          </w:p>
        </w:tc>
        <w:tc>
          <w:tcPr>
            <w:tcW w:w="2693" w:type="dxa"/>
          </w:tcPr>
          <w:p w14:paraId="0C62177D"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&lt;250 </w:t>
            </w:r>
            <w:r w:rsidRPr="0069508F">
              <w:rPr>
                <w:rFonts w:cstheme="minorHAnsi"/>
              </w:rPr>
              <w:t>µ</w:t>
            </w:r>
            <w:proofErr w:type="spellStart"/>
            <w:r w:rsidRPr="0069508F">
              <w:t>Sv</w:t>
            </w:r>
            <w:proofErr w:type="spellEnd"/>
            <w:r w:rsidRPr="0069508F">
              <w:t xml:space="preserve"> and exposures uniform throughout year and high exposures are unlikely even in an accident situation</w:t>
            </w:r>
          </w:p>
        </w:tc>
        <w:tc>
          <w:tcPr>
            <w:tcW w:w="1843" w:type="dxa"/>
          </w:tcPr>
          <w:p w14:paraId="2A2BC099"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Monitoring is not mandatory</w:t>
            </w:r>
          </w:p>
        </w:tc>
        <w:tc>
          <w:tcPr>
            <w:tcW w:w="2586" w:type="dxa"/>
          </w:tcPr>
          <w:p w14:paraId="6B886B2C"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After initial verification period of one year</w:t>
            </w:r>
          </w:p>
        </w:tc>
      </w:tr>
      <w:tr w:rsidR="0040564A" w:rsidRPr="0069508F" w14:paraId="4DAA2F22"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4FE3ABF7" w14:textId="4AD112A4" w:rsidR="0040564A" w:rsidRPr="0069508F" w:rsidRDefault="0040564A" w:rsidP="00345BD5">
            <w:pPr>
              <w:pStyle w:val="Heading3"/>
              <w:jc w:val="left"/>
              <w:outlineLvl w:val="2"/>
            </w:pPr>
            <w:bookmarkStart w:id="61" w:name="_Toc99723502"/>
            <w:r w:rsidRPr="0069508F">
              <w:t>Chiropractic</w:t>
            </w:r>
            <w:bookmarkEnd w:id="61"/>
          </w:p>
        </w:tc>
        <w:tc>
          <w:tcPr>
            <w:tcW w:w="2693" w:type="dxa"/>
          </w:tcPr>
          <w:p w14:paraId="6C490436"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&lt;250 </w:t>
            </w:r>
            <w:r w:rsidRPr="0069508F">
              <w:rPr>
                <w:rFonts w:cstheme="minorHAnsi"/>
              </w:rPr>
              <w:t>µ</w:t>
            </w:r>
            <w:proofErr w:type="spellStart"/>
            <w:r w:rsidRPr="0069508F">
              <w:t>Sv</w:t>
            </w:r>
            <w:proofErr w:type="spellEnd"/>
            <w:r w:rsidRPr="0069508F">
              <w:t xml:space="preserve"> and exposures uniform throughout year and high exposures are unlikely even in an accident situation</w:t>
            </w:r>
          </w:p>
        </w:tc>
        <w:tc>
          <w:tcPr>
            <w:tcW w:w="1843" w:type="dxa"/>
          </w:tcPr>
          <w:p w14:paraId="48337185"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Monitoring is not mandatory</w:t>
            </w:r>
          </w:p>
        </w:tc>
        <w:tc>
          <w:tcPr>
            <w:tcW w:w="2586" w:type="dxa"/>
          </w:tcPr>
          <w:p w14:paraId="7896D65A"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After initial verification period of one year</w:t>
            </w:r>
          </w:p>
        </w:tc>
      </w:tr>
      <w:tr w:rsidR="0040564A" w:rsidRPr="0069508F" w14:paraId="5C140A5D"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14DF0FAF" w14:textId="38D06924" w:rsidR="0040564A" w:rsidRPr="0069508F" w:rsidRDefault="0040564A" w:rsidP="00345BD5">
            <w:pPr>
              <w:pStyle w:val="Heading3"/>
              <w:jc w:val="left"/>
              <w:outlineLvl w:val="2"/>
            </w:pPr>
            <w:bookmarkStart w:id="62" w:name="_Toc99723503"/>
            <w:r w:rsidRPr="0069508F">
              <w:t>Veterinary - those practices where five or fewer than five radiographs per month are taken</w:t>
            </w:r>
            <w:bookmarkEnd w:id="62"/>
          </w:p>
        </w:tc>
        <w:tc>
          <w:tcPr>
            <w:tcW w:w="2693" w:type="dxa"/>
          </w:tcPr>
          <w:p w14:paraId="4C69685E"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&lt;250 </w:t>
            </w:r>
            <w:r w:rsidRPr="0069508F">
              <w:rPr>
                <w:rFonts w:cstheme="minorHAnsi"/>
              </w:rPr>
              <w:t>µ</w:t>
            </w:r>
            <w:proofErr w:type="spellStart"/>
            <w:r w:rsidRPr="0069508F">
              <w:t>Sv</w:t>
            </w:r>
            <w:proofErr w:type="spellEnd"/>
            <w:r w:rsidRPr="0069508F">
              <w:t xml:space="preserve"> and exposures uniform throughout year and high exposures are unlikely even in an accident situation</w:t>
            </w:r>
          </w:p>
        </w:tc>
        <w:tc>
          <w:tcPr>
            <w:tcW w:w="1843" w:type="dxa"/>
          </w:tcPr>
          <w:p w14:paraId="02D5B60B"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Monitoring is not mandatory</w:t>
            </w:r>
          </w:p>
        </w:tc>
        <w:tc>
          <w:tcPr>
            <w:tcW w:w="2586" w:type="dxa"/>
          </w:tcPr>
          <w:p w14:paraId="5BB579F1"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After initial verification period of one year</w:t>
            </w:r>
          </w:p>
        </w:tc>
      </w:tr>
      <w:tr w:rsidR="0040564A" w:rsidRPr="0069508F" w14:paraId="600CEE4F"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07DE6D47" w14:textId="5361B65D" w:rsidR="0040564A" w:rsidRPr="0069508F" w:rsidRDefault="0040564A" w:rsidP="00345BD5">
            <w:pPr>
              <w:pStyle w:val="Heading3"/>
              <w:jc w:val="left"/>
              <w:outlineLvl w:val="2"/>
            </w:pPr>
            <w:bookmarkStart w:id="63" w:name="_Toc99723504"/>
            <w:r w:rsidRPr="0069508F">
              <w:t>Baggage X-ray</w:t>
            </w:r>
            <w:bookmarkEnd w:id="63"/>
          </w:p>
        </w:tc>
        <w:tc>
          <w:tcPr>
            <w:tcW w:w="2693" w:type="dxa"/>
          </w:tcPr>
          <w:p w14:paraId="7B12E7F3"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&lt;250 </w:t>
            </w:r>
            <w:r w:rsidRPr="0069508F">
              <w:rPr>
                <w:rFonts w:cstheme="minorHAnsi"/>
              </w:rPr>
              <w:t>µ</w:t>
            </w:r>
            <w:proofErr w:type="spellStart"/>
            <w:r w:rsidRPr="0069508F">
              <w:t>Sv</w:t>
            </w:r>
            <w:proofErr w:type="spellEnd"/>
            <w:r w:rsidRPr="0069508F">
              <w:t xml:space="preserve"> and exposures uniform throughout year and high exposures are unlikely even in an accident situation</w:t>
            </w:r>
          </w:p>
        </w:tc>
        <w:tc>
          <w:tcPr>
            <w:tcW w:w="1843" w:type="dxa"/>
          </w:tcPr>
          <w:p w14:paraId="1F594719"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Monitoring is not mandatory</w:t>
            </w:r>
          </w:p>
        </w:tc>
        <w:tc>
          <w:tcPr>
            <w:tcW w:w="2586" w:type="dxa"/>
          </w:tcPr>
          <w:p w14:paraId="3F093A43" w14:textId="22B0836D"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No comments</w:t>
            </w:r>
          </w:p>
        </w:tc>
      </w:tr>
      <w:tr w:rsidR="0040564A" w:rsidRPr="0069508F" w14:paraId="1D78346B"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6B1F41F6" w14:textId="4DF03CDC" w:rsidR="0040564A" w:rsidRPr="0069508F" w:rsidRDefault="0040564A" w:rsidP="00345BD5">
            <w:pPr>
              <w:pStyle w:val="Heading3"/>
              <w:jc w:val="left"/>
              <w:outlineLvl w:val="2"/>
            </w:pPr>
            <w:bookmarkStart w:id="64" w:name="_Toc99723505"/>
            <w:r w:rsidRPr="0069508F">
              <w:t>Education</w:t>
            </w:r>
            <w:bookmarkEnd w:id="64"/>
          </w:p>
        </w:tc>
        <w:tc>
          <w:tcPr>
            <w:tcW w:w="2693" w:type="dxa"/>
          </w:tcPr>
          <w:p w14:paraId="29325E79"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&lt;250 </w:t>
            </w:r>
            <w:r w:rsidRPr="0069508F">
              <w:rPr>
                <w:rFonts w:cstheme="minorHAnsi"/>
              </w:rPr>
              <w:t>µ</w:t>
            </w:r>
            <w:proofErr w:type="spellStart"/>
            <w:r w:rsidRPr="0069508F">
              <w:t>Sv</w:t>
            </w:r>
            <w:proofErr w:type="spellEnd"/>
            <w:r w:rsidRPr="0069508F">
              <w:t xml:space="preserve"> and high exposures unlikely even in an accident situation</w:t>
            </w:r>
          </w:p>
        </w:tc>
        <w:tc>
          <w:tcPr>
            <w:tcW w:w="1843" w:type="dxa"/>
          </w:tcPr>
          <w:p w14:paraId="0C5F1536"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Monitoring is not mandatory</w:t>
            </w:r>
          </w:p>
        </w:tc>
        <w:tc>
          <w:tcPr>
            <w:tcW w:w="2586" w:type="dxa"/>
          </w:tcPr>
          <w:p w14:paraId="36BD7682"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Use of radiation must be in accordance with the ARPANSA Safety Guide for the Use of Radiation in Schools - Part 1: Ionizing Radiation (2009)</w:t>
            </w:r>
          </w:p>
        </w:tc>
      </w:tr>
      <w:tr w:rsidR="0040564A" w:rsidRPr="0069508F" w14:paraId="715B378E"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277FA286" w14:textId="65E65760" w:rsidR="0040564A" w:rsidRPr="0069508F" w:rsidRDefault="0040564A" w:rsidP="00345BD5">
            <w:pPr>
              <w:pStyle w:val="Heading3"/>
              <w:jc w:val="left"/>
              <w:outlineLvl w:val="2"/>
            </w:pPr>
            <w:bookmarkStart w:id="65" w:name="_Toc99723506"/>
            <w:r w:rsidRPr="0069508F">
              <w:t>Industry</w:t>
            </w:r>
            <w:bookmarkEnd w:id="65"/>
          </w:p>
        </w:tc>
        <w:tc>
          <w:tcPr>
            <w:tcW w:w="2693" w:type="dxa"/>
          </w:tcPr>
          <w:p w14:paraId="668AA440"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&gt;250 </w:t>
            </w:r>
            <w:r w:rsidRPr="0069508F">
              <w:rPr>
                <w:rFonts w:cstheme="minorHAnsi"/>
              </w:rPr>
              <w:t>µ</w:t>
            </w:r>
            <w:proofErr w:type="spellStart"/>
            <w:r w:rsidRPr="0069508F">
              <w:t>Sv</w:t>
            </w:r>
            <w:proofErr w:type="spellEnd"/>
            <w:r w:rsidRPr="0069508F">
              <w:t xml:space="preserve"> and &lt;1 mSv and exposures uniform throughout year and high inadvertent exposures are unlikely</w:t>
            </w:r>
          </w:p>
        </w:tc>
        <w:tc>
          <w:tcPr>
            <w:tcW w:w="1843" w:type="dxa"/>
          </w:tcPr>
          <w:p w14:paraId="6FCC2694" w14:textId="1A90808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3 months</w:t>
            </w:r>
          </w:p>
        </w:tc>
        <w:tc>
          <w:tcPr>
            <w:tcW w:w="2586" w:type="dxa"/>
          </w:tcPr>
          <w:p w14:paraId="08E26C23" w14:textId="6ED34906" w:rsidR="0040564A" w:rsidRPr="0069508F" w:rsidRDefault="0040564A" w:rsidP="00345BD5">
            <w:pPr>
              <w:jc w:val="left"/>
              <w:cnfStyle w:val="000000000000" w:firstRow="0" w:lastRow="0" w:firstColumn="0" w:lastColumn="0" w:oddVBand="0" w:evenVBand="0" w:oddHBand="0" w:evenHBand="0" w:firstRowFirstColumn="0" w:firstRowLastColumn="0" w:lastRowFirstColumn="0" w:lastRowLastColumn="0"/>
            </w:pPr>
            <w:r w:rsidRPr="0069508F">
              <w:t>Area monitoring suitable when many employees may be exposed for short times to radiation from fixed gauges.</w:t>
            </w:r>
            <w:r w:rsidR="00345BD5">
              <w:t xml:space="preserve"> </w:t>
            </w:r>
            <w:r w:rsidRPr="0069508F">
              <w:t>Responders to accidents (</w:t>
            </w:r>
            <w:proofErr w:type="spellStart"/>
            <w:proofErr w:type="gramStart"/>
            <w:r w:rsidRPr="0069508F">
              <w:t>eg</w:t>
            </w:r>
            <w:proofErr w:type="spellEnd"/>
            <w:proofErr w:type="gramEnd"/>
            <w:r w:rsidRPr="0069508F">
              <w:t xml:space="preserve"> RSO) must have personal monitors. Also, see “People requiring personal monitoring”</w:t>
            </w:r>
          </w:p>
        </w:tc>
      </w:tr>
      <w:tr w:rsidR="0040564A" w:rsidRPr="0069508F" w14:paraId="78406F9D"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536F2F4E" w14:textId="467E8DF0" w:rsidR="0040564A" w:rsidRPr="0069508F" w:rsidRDefault="0040564A" w:rsidP="00345BD5">
            <w:pPr>
              <w:pStyle w:val="Heading3"/>
              <w:jc w:val="left"/>
              <w:outlineLvl w:val="2"/>
            </w:pPr>
            <w:bookmarkStart w:id="66" w:name="_Toc99723507"/>
            <w:r w:rsidRPr="0069508F">
              <w:t>Users of Ni-63 sources; suppliers of ionization smoke detectors</w:t>
            </w:r>
            <w:bookmarkEnd w:id="66"/>
          </w:p>
        </w:tc>
        <w:tc>
          <w:tcPr>
            <w:tcW w:w="2693" w:type="dxa"/>
          </w:tcPr>
          <w:p w14:paraId="6B76B2C1"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 xml:space="preserve">Annual doses &lt;250 </w:t>
            </w:r>
            <w:r w:rsidRPr="0069508F">
              <w:rPr>
                <w:rFonts w:cstheme="minorHAnsi"/>
              </w:rPr>
              <w:t>µ</w:t>
            </w:r>
            <w:proofErr w:type="spellStart"/>
            <w:r w:rsidRPr="0069508F">
              <w:t>Sv</w:t>
            </w:r>
            <w:proofErr w:type="spellEnd"/>
            <w:r w:rsidRPr="0069508F">
              <w:t xml:space="preserve"> and high inadvertent exposures are unlikely even in an accident situation</w:t>
            </w:r>
          </w:p>
        </w:tc>
        <w:tc>
          <w:tcPr>
            <w:tcW w:w="1843" w:type="dxa"/>
          </w:tcPr>
          <w:p w14:paraId="43B473C6"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Monitoring is not mandatory</w:t>
            </w:r>
          </w:p>
        </w:tc>
        <w:tc>
          <w:tcPr>
            <w:tcW w:w="2586" w:type="dxa"/>
          </w:tcPr>
          <w:p w14:paraId="7CCA4EDD" w14:textId="49C004AD"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No comments</w:t>
            </w:r>
          </w:p>
        </w:tc>
      </w:tr>
      <w:tr w:rsidR="0040564A" w:rsidRPr="0069508F" w14:paraId="1F209AD4"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5B06D9A3" w14:textId="75151FE3" w:rsidR="0040564A" w:rsidRPr="0069508F" w:rsidRDefault="0040564A" w:rsidP="00345BD5">
            <w:pPr>
              <w:pStyle w:val="Heading3"/>
              <w:jc w:val="left"/>
              <w:outlineLvl w:val="2"/>
            </w:pPr>
            <w:bookmarkStart w:id="67" w:name="_Toc99723508"/>
            <w:r w:rsidRPr="0069508F">
              <w:lastRenderedPageBreak/>
              <w:t>XRF and XRD users of hand-held units or those units without sample auto-changing</w:t>
            </w:r>
            <w:bookmarkEnd w:id="67"/>
          </w:p>
        </w:tc>
        <w:tc>
          <w:tcPr>
            <w:tcW w:w="2693" w:type="dxa"/>
          </w:tcPr>
          <w:p w14:paraId="30D828F1"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Personal monitors worn at chest or waist may not detect leakage radiation</w:t>
            </w:r>
          </w:p>
        </w:tc>
        <w:tc>
          <w:tcPr>
            <w:tcW w:w="1843" w:type="dxa"/>
          </w:tcPr>
          <w:p w14:paraId="6FA78083"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Monitoring is not mandatory</w:t>
            </w:r>
          </w:p>
        </w:tc>
        <w:tc>
          <w:tcPr>
            <w:tcW w:w="2586" w:type="dxa"/>
          </w:tcPr>
          <w:p w14:paraId="07FA0F10" w14:textId="500B609A"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No comments</w:t>
            </w:r>
          </w:p>
        </w:tc>
      </w:tr>
      <w:tr w:rsidR="0040564A" w:rsidRPr="0069508F" w14:paraId="1754A12E"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40E06B77" w14:textId="2CAFE461" w:rsidR="0040564A" w:rsidRPr="0069508F" w:rsidRDefault="0040564A" w:rsidP="00345BD5">
            <w:pPr>
              <w:pStyle w:val="Heading3"/>
              <w:jc w:val="left"/>
              <w:outlineLvl w:val="2"/>
            </w:pPr>
            <w:bookmarkStart w:id="68" w:name="_Toc99723509"/>
            <w:r w:rsidRPr="0069508F">
              <w:t xml:space="preserve">Workplaces where radon levels may exceed 1000 </w:t>
            </w:r>
            <w:proofErr w:type="spellStart"/>
            <w:r w:rsidRPr="0069508F">
              <w:t>Bq</w:t>
            </w:r>
            <w:proofErr w:type="spellEnd"/>
            <w:r w:rsidRPr="0069508F">
              <w:t>/m3</w:t>
            </w:r>
            <w:bookmarkEnd w:id="68"/>
          </w:p>
        </w:tc>
        <w:tc>
          <w:tcPr>
            <w:tcW w:w="2693" w:type="dxa"/>
          </w:tcPr>
          <w:p w14:paraId="7C8793C3" w14:textId="03B09B22"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If radon levels cannot be reduced, monitor workplace radon levels and employee gamma levels</w:t>
            </w:r>
          </w:p>
        </w:tc>
        <w:tc>
          <w:tcPr>
            <w:tcW w:w="1843" w:type="dxa"/>
          </w:tcPr>
          <w:p w14:paraId="783C9061"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 for twelve months, to establish exposure levels</w:t>
            </w:r>
          </w:p>
        </w:tc>
        <w:tc>
          <w:tcPr>
            <w:tcW w:w="2586" w:type="dxa"/>
          </w:tcPr>
          <w:p w14:paraId="467BD2D9" w14:textId="14C3D9CB"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No comments</w:t>
            </w:r>
          </w:p>
        </w:tc>
      </w:tr>
      <w:tr w:rsidR="0040564A" w:rsidRPr="0069508F" w14:paraId="2B904999" w14:textId="77777777" w:rsidTr="000D5D58">
        <w:trPr>
          <w:cantSplit/>
        </w:trPr>
        <w:tc>
          <w:tcPr>
            <w:cnfStyle w:val="001000000000" w:firstRow="0" w:lastRow="0" w:firstColumn="1" w:lastColumn="0" w:oddVBand="0" w:evenVBand="0" w:oddHBand="0" w:evenHBand="0" w:firstRowFirstColumn="0" w:firstRowLastColumn="0" w:lastRowFirstColumn="0" w:lastRowLastColumn="0"/>
            <w:tcW w:w="2127" w:type="dxa"/>
          </w:tcPr>
          <w:p w14:paraId="24B82D17" w14:textId="5AB1C439" w:rsidR="0040564A" w:rsidRPr="0069508F" w:rsidRDefault="0040564A" w:rsidP="00345BD5">
            <w:pPr>
              <w:pStyle w:val="Heading3"/>
              <w:jc w:val="left"/>
              <w:outlineLvl w:val="2"/>
            </w:pPr>
            <w:bookmarkStart w:id="69" w:name="_Toc99723510"/>
            <w:r w:rsidRPr="0069508F">
              <w:t>Mining and milling of radioactive ores</w:t>
            </w:r>
            <w:bookmarkEnd w:id="69"/>
          </w:p>
        </w:tc>
        <w:tc>
          <w:tcPr>
            <w:tcW w:w="2693" w:type="dxa"/>
          </w:tcPr>
          <w:p w14:paraId="48A69ADB" w14:textId="77777777"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Monitor, calculate and record employee radiation exposure as per ARPANSA RPS 9.1</w:t>
            </w:r>
          </w:p>
        </w:tc>
        <w:tc>
          <w:tcPr>
            <w:tcW w:w="1843" w:type="dxa"/>
          </w:tcPr>
          <w:p w14:paraId="3A8F92AF" w14:textId="6ED32C52" w:rsidR="0040564A" w:rsidRPr="0069508F" w:rsidRDefault="00345BD5" w:rsidP="0040564A">
            <w:pPr>
              <w:jc w:val="left"/>
              <w:cnfStyle w:val="000000000000" w:firstRow="0" w:lastRow="0" w:firstColumn="0" w:lastColumn="0" w:oddVBand="0" w:evenVBand="0" w:oddHBand="0" w:evenHBand="0" w:firstRowFirstColumn="0" w:firstRowLastColumn="0" w:lastRowFirstColumn="0" w:lastRowLastColumn="0"/>
            </w:pPr>
            <w:r>
              <w:t>n/a</w:t>
            </w:r>
          </w:p>
        </w:tc>
        <w:tc>
          <w:tcPr>
            <w:tcW w:w="2586" w:type="dxa"/>
          </w:tcPr>
          <w:p w14:paraId="30FB1639" w14:textId="78253FC0" w:rsidR="0040564A" w:rsidRPr="0069508F" w:rsidRDefault="0040564A" w:rsidP="0040564A">
            <w:pPr>
              <w:jc w:val="left"/>
              <w:cnfStyle w:val="000000000000" w:firstRow="0" w:lastRow="0" w:firstColumn="0" w:lastColumn="0" w:oddVBand="0" w:evenVBand="0" w:oddHBand="0" w:evenHBand="0" w:firstRowFirstColumn="0" w:firstRowLastColumn="0" w:lastRowFirstColumn="0" w:lastRowLastColumn="0"/>
            </w:pPr>
            <w:r w:rsidRPr="0069508F">
              <w:t>No comments</w:t>
            </w:r>
          </w:p>
        </w:tc>
      </w:tr>
    </w:tbl>
    <w:p w14:paraId="0FFFB30E" w14:textId="77777777" w:rsidR="006D7254" w:rsidRPr="0069508F" w:rsidRDefault="006D7254" w:rsidP="00345BD5">
      <w:pPr>
        <w:rPr>
          <w:lang w:val="en-US"/>
        </w:rPr>
      </w:pPr>
    </w:p>
    <w:sectPr w:rsidR="006D7254" w:rsidRPr="0069508F" w:rsidSect="00345BD5">
      <w:footerReference w:type="default" r:id="rId15"/>
      <w:pgSz w:w="12240" w:h="15840"/>
      <w:pgMar w:top="426" w:right="1800" w:bottom="709" w:left="180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7225" w14:textId="77777777" w:rsidR="00674028" w:rsidRDefault="00674028" w:rsidP="00590171">
      <w:pPr>
        <w:spacing w:after="336" w:line="240" w:lineRule="auto"/>
      </w:pPr>
      <w:r>
        <w:separator/>
      </w:r>
    </w:p>
  </w:endnote>
  <w:endnote w:type="continuationSeparator" w:id="0">
    <w:p w14:paraId="6C1B174E" w14:textId="77777777" w:rsidR="00674028" w:rsidRDefault="00674028" w:rsidP="00590171">
      <w:pPr>
        <w:spacing w:after="33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CFD2" w14:textId="77777777" w:rsidR="00275A5F" w:rsidRDefault="00275A5F" w:rsidP="00275A5F">
    <w:pPr>
      <w:pStyle w:val="Footer"/>
      <w:spacing w:after="3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892330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B697CED" w14:textId="57644607" w:rsidR="007B244F" w:rsidRPr="007B244F" w:rsidRDefault="007B244F">
            <w:pPr>
              <w:pStyle w:val="Footer"/>
              <w:jc w:val="right"/>
              <w:rPr>
                <w:sz w:val="20"/>
                <w:szCs w:val="20"/>
              </w:rPr>
            </w:pPr>
            <w:r w:rsidRPr="007B244F">
              <w:rPr>
                <w:sz w:val="20"/>
                <w:szCs w:val="20"/>
              </w:rPr>
              <w:t xml:space="preserve">Page </w:t>
            </w:r>
            <w:r w:rsidRPr="007B244F">
              <w:rPr>
                <w:sz w:val="20"/>
                <w:szCs w:val="20"/>
              </w:rPr>
              <w:fldChar w:fldCharType="begin"/>
            </w:r>
            <w:r w:rsidRPr="007B244F">
              <w:rPr>
                <w:sz w:val="20"/>
                <w:szCs w:val="20"/>
              </w:rPr>
              <w:instrText xml:space="preserve"> PAGE </w:instrText>
            </w:r>
            <w:r w:rsidRPr="007B244F">
              <w:rPr>
                <w:sz w:val="20"/>
                <w:szCs w:val="20"/>
              </w:rPr>
              <w:fldChar w:fldCharType="separate"/>
            </w:r>
            <w:r w:rsidRPr="007B244F">
              <w:rPr>
                <w:noProof/>
                <w:sz w:val="20"/>
                <w:szCs w:val="20"/>
              </w:rPr>
              <w:t>2</w:t>
            </w:r>
            <w:r w:rsidRPr="007B244F">
              <w:rPr>
                <w:sz w:val="20"/>
                <w:szCs w:val="20"/>
              </w:rPr>
              <w:fldChar w:fldCharType="end"/>
            </w:r>
            <w:r w:rsidRPr="007B244F">
              <w:rPr>
                <w:sz w:val="20"/>
                <w:szCs w:val="20"/>
              </w:rPr>
              <w:t xml:space="preserve"> of </w:t>
            </w:r>
            <w:r w:rsidRPr="007B244F">
              <w:rPr>
                <w:sz w:val="20"/>
                <w:szCs w:val="20"/>
              </w:rPr>
              <w:fldChar w:fldCharType="begin"/>
            </w:r>
            <w:r w:rsidRPr="007B244F">
              <w:rPr>
                <w:sz w:val="20"/>
                <w:szCs w:val="20"/>
              </w:rPr>
              <w:instrText xml:space="preserve"> NUMPAGES  </w:instrText>
            </w:r>
            <w:r w:rsidRPr="007B244F">
              <w:rPr>
                <w:sz w:val="20"/>
                <w:szCs w:val="20"/>
              </w:rPr>
              <w:fldChar w:fldCharType="separate"/>
            </w:r>
            <w:r w:rsidRPr="007B244F">
              <w:rPr>
                <w:noProof/>
                <w:sz w:val="20"/>
                <w:szCs w:val="20"/>
              </w:rPr>
              <w:t>2</w:t>
            </w:r>
            <w:r w:rsidRPr="007B244F">
              <w:rPr>
                <w:sz w:val="20"/>
                <w:szCs w:val="20"/>
              </w:rPr>
              <w:fldChar w:fldCharType="end"/>
            </w:r>
          </w:p>
        </w:sdtContent>
      </w:sdt>
    </w:sdtContent>
  </w:sdt>
  <w:p w14:paraId="4AEC93A3" w14:textId="77777777" w:rsidR="000C3212" w:rsidRPr="007B244F" w:rsidRDefault="000C3212" w:rsidP="00590171">
    <w:pPr>
      <w:pStyle w:val="Footer"/>
      <w:spacing w:after="336"/>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5BDE" w14:textId="77777777" w:rsidR="00275A5F" w:rsidRDefault="00275A5F" w:rsidP="00275A5F">
    <w:pPr>
      <w:pStyle w:val="Footer"/>
      <w:spacing w:after="33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DA95" w14:textId="77777777" w:rsidR="00BF5BE4" w:rsidRPr="002A7DAE" w:rsidRDefault="00B35A16">
    <w:pPr>
      <w:pStyle w:val="Footer"/>
      <w:jc w:val="right"/>
      <w:rPr>
        <w:sz w:val="18"/>
        <w:szCs w:val="18"/>
      </w:rPr>
    </w:pPr>
    <w:r w:rsidRPr="002A7DAE">
      <w:rPr>
        <w:sz w:val="18"/>
        <w:szCs w:val="18"/>
      </w:rPr>
      <w:t xml:space="preserve">Page </w:t>
    </w:r>
    <w:r w:rsidRPr="002A7DAE">
      <w:rPr>
        <w:sz w:val="18"/>
        <w:szCs w:val="18"/>
      </w:rPr>
      <w:fldChar w:fldCharType="begin"/>
    </w:r>
    <w:r w:rsidRPr="002A7DAE">
      <w:rPr>
        <w:sz w:val="18"/>
        <w:szCs w:val="18"/>
      </w:rPr>
      <w:instrText xml:space="preserve"> PAGE </w:instrText>
    </w:r>
    <w:r w:rsidRPr="002A7DAE">
      <w:rPr>
        <w:sz w:val="18"/>
        <w:szCs w:val="18"/>
      </w:rPr>
      <w:fldChar w:fldCharType="separate"/>
    </w:r>
    <w:r w:rsidRPr="002A7DAE">
      <w:rPr>
        <w:noProof/>
        <w:sz w:val="18"/>
        <w:szCs w:val="18"/>
      </w:rPr>
      <w:t>2</w:t>
    </w:r>
    <w:r w:rsidRPr="002A7DAE">
      <w:rPr>
        <w:sz w:val="18"/>
        <w:szCs w:val="18"/>
      </w:rPr>
      <w:fldChar w:fldCharType="end"/>
    </w:r>
    <w:r w:rsidRPr="002A7DAE">
      <w:rPr>
        <w:sz w:val="18"/>
        <w:szCs w:val="18"/>
      </w:rPr>
      <w:t xml:space="preserve"> of </w:t>
    </w:r>
    <w:r w:rsidRPr="002A7DAE">
      <w:rPr>
        <w:sz w:val="18"/>
        <w:szCs w:val="18"/>
      </w:rPr>
      <w:fldChar w:fldCharType="begin"/>
    </w:r>
    <w:r w:rsidRPr="002A7DAE">
      <w:rPr>
        <w:sz w:val="18"/>
        <w:szCs w:val="18"/>
      </w:rPr>
      <w:instrText xml:space="preserve"> NUMPAGES  </w:instrText>
    </w:r>
    <w:r w:rsidRPr="002A7DAE">
      <w:rPr>
        <w:sz w:val="18"/>
        <w:szCs w:val="18"/>
      </w:rPr>
      <w:fldChar w:fldCharType="separate"/>
    </w:r>
    <w:r w:rsidRPr="002A7DAE">
      <w:rPr>
        <w:noProof/>
        <w:sz w:val="18"/>
        <w:szCs w:val="18"/>
      </w:rPr>
      <w:t>2</w:t>
    </w:r>
    <w:r w:rsidRPr="002A7DAE">
      <w:rPr>
        <w:sz w:val="18"/>
        <w:szCs w:val="18"/>
      </w:rPr>
      <w:fldChar w:fldCharType="end"/>
    </w:r>
  </w:p>
  <w:p w14:paraId="54A87074" w14:textId="77777777" w:rsidR="004C56C5" w:rsidRPr="002A7DAE" w:rsidRDefault="0067402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0686" w14:textId="77777777" w:rsidR="00674028" w:rsidRDefault="00674028" w:rsidP="00590171">
      <w:pPr>
        <w:spacing w:after="336" w:line="240" w:lineRule="auto"/>
      </w:pPr>
      <w:r>
        <w:separator/>
      </w:r>
    </w:p>
  </w:footnote>
  <w:footnote w:type="continuationSeparator" w:id="0">
    <w:p w14:paraId="6D52AAA3" w14:textId="77777777" w:rsidR="00674028" w:rsidRDefault="00674028" w:rsidP="00590171">
      <w:pPr>
        <w:spacing w:after="336"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B63F" w14:textId="77777777" w:rsidR="00275A5F" w:rsidRDefault="00275A5F" w:rsidP="00275A5F">
    <w:pPr>
      <w:pStyle w:val="Header"/>
      <w:spacing w:after="3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B34" w14:textId="2F5ADEA5" w:rsidR="00275A5F" w:rsidRDefault="00275A5F" w:rsidP="00275A5F">
    <w:pPr>
      <w:pStyle w:val="Header"/>
      <w:spacing w:after="3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C483" w14:textId="77777777" w:rsidR="00B84EE7" w:rsidRDefault="00D25EA0" w:rsidP="00590171">
    <w:pPr>
      <w:pStyle w:val="Header"/>
      <w:spacing w:after="336"/>
    </w:pPr>
    <w:r>
      <w:rPr>
        <w:noProof/>
        <w:lang w:val="en-US"/>
      </w:rPr>
      <w:drawing>
        <wp:anchor distT="0" distB="0" distL="114300" distR="114300" simplePos="0" relativeHeight="251664384" behindDoc="1" locked="0" layoutInCell="1" allowOverlap="1" wp14:anchorId="0E721968" wp14:editId="4A455304">
          <wp:simplePos x="0" y="0"/>
          <wp:positionH relativeFrom="page">
            <wp:align>center</wp:align>
          </wp:positionH>
          <wp:positionV relativeFrom="page">
            <wp:align>top</wp:align>
          </wp:positionV>
          <wp:extent cx="7566403" cy="10702799"/>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6403" cy="107027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B"/>
    <w:multiLevelType w:val="multilevel"/>
    <w:tmpl w:val="00000000"/>
    <w:lvl w:ilvl="0">
      <w:start w:val="1"/>
      <w:numFmt w:val="decimal"/>
      <w:pStyle w:val="Level1"/>
      <w:lvlText w:val="%1."/>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B2B25"/>
    <w:multiLevelType w:val="hybridMultilevel"/>
    <w:tmpl w:val="C9149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83A04"/>
    <w:multiLevelType w:val="hybridMultilevel"/>
    <w:tmpl w:val="EDBE1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A3153"/>
    <w:multiLevelType w:val="hybridMultilevel"/>
    <w:tmpl w:val="861438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44064A"/>
    <w:multiLevelType w:val="hybridMultilevel"/>
    <w:tmpl w:val="CD887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396BAC"/>
    <w:multiLevelType w:val="hybridMultilevel"/>
    <w:tmpl w:val="DAB4E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06C9A"/>
    <w:multiLevelType w:val="hybridMultilevel"/>
    <w:tmpl w:val="E162EA52"/>
    <w:lvl w:ilvl="0" w:tplc="EC2CF8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486ADB"/>
    <w:multiLevelType w:val="hybridMultilevel"/>
    <w:tmpl w:val="D136C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E44346"/>
    <w:multiLevelType w:val="hybridMultilevel"/>
    <w:tmpl w:val="2FBE0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5CA8"/>
    <w:multiLevelType w:val="hybridMultilevel"/>
    <w:tmpl w:val="45FC5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21143"/>
    <w:multiLevelType w:val="hybridMultilevel"/>
    <w:tmpl w:val="953C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D4C34"/>
    <w:multiLevelType w:val="hybridMultilevel"/>
    <w:tmpl w:val="5BD6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150628"/>
    <w:multiLevelType w:val="hybridMultilevel"/>
    <w:tmpl w:val="3438D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124FD"/>
    <w:multiLevelType w:val="hybridMultilevel"/>
    <w:tmpl w:val="F8B25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5186E"/>
    <w:multiLevelType w:val="hybridMultilevel"/>
    <w:tmpl w:val="EEA8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A020C5"/>
    <w:multiLevelType w:val="hybridMultilevel"/>
    <w:tmpl w:val="D19E3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2D4493"/>
    <w:multiLevelType w:val="hybridMultilevel"/>
    <w:tmpl w:val="D52A2C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8204307"/>
    <w:multiLevelType w:val="hybridMultilevel"/>
    <w:tmpl w:val="B43C03FE"/>
    <w:lvl w:ilvl="0" w:tplc="6090F0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916E1"/>
    <w:multiLevelType w:val="hybridMultilevel"/>
    <w:tmpl w:val="579A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295B03"/>
    <w:multiLevelType w:val="hybridMultilevel"/>
    <w:tmpl w:val="A652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A2FC5"/>
    <w:multiLevelType w:val="hybridMultilevel"/>
    <w:tmpl w:val="BA12F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A2774C"/>
    <w:multiLevelType w:val="hybridMultilevel"/>
    <w:tmpl w:val="0CCE9D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1A72AE1"/>
    <w:multiLevelType w:val="hybridMultilevel"/>
    <w:tmpl w:val="75666FEC"/>
    <w:lvl w:ilvl="0" w:tplc="A1801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B559FD"/>
    <w:multiLevelType w:val="hybridMultilevel"/>
    <w:tmpl w:val="25A23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BB1935"/>
    <w:multiLevelType w:val="hybridMultilevel"/>
    <w:tmpl w:val="6B6C65A8"/>
    <w:lvl w:ilvl="0" w:tplc="565C5A8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A1353CE"/>
    <w:multiLevelType w:val="hybridMultilevel"/>
    <w:tmpl w:val="86DC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EB2CD7"/>
    <w:multiLevelType w:val="hybridMultilevel"/>
    <w:tmpl w:val="CF64CD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0101573"/>
    <w:multiLevelType w:val="hybridMultilevel"/>
    <w:tmpl w:val="3794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2A6048"/>
    <w:multiLevelType w:val="hybridMultilevel"/>
    <w:tmpl w:val="2CD8CA42"/>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CA0AB7"/>
    <w:multiLevelType w:val="hybridMultilevel"/>
    <w:tmpl w:val="BB4E4968"/>
    <w:lvl w:ilvl="0" w:tplc="83A247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BD095D"/>
    <w:multiLevelType w:val="hybridMultilevel"/>
    <w:tmpl w:val="D242D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D909B0"/>
    <w:multiLevelType w:val="hybridMultilevel"/>
    <w:tmpl w:val="6A6E6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0F333D"/>
    <w:multiLevelType w:val="hybridMultilevel"/>
    <w:tmpl w:val="4E98B2E6"/>
    <w:lvl w:ilvl="0" w:tplc="BD782716">
      <w:start w:val="1"/>
      <w:numFmt w:val="lowerRoman"/>
      <w:pStyle w:val="Heading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28"/>
  </w:num>
  <w:num w:numId="4">
    <w:abstractNumId w:val="4"/>
  </w:num>
  <w:num w:numId="5">
    <w:abstractNumId w:val="14"/>
  </w:num>
  <w:num w:numId="6">
    <w:abstractNumId w:val="15"/>
  </w:num>
  <w:num w:numId="7">
    <w:abstractNumId w:val="21"/>
  </w:num>
  <w:num w:numId="8">
    <w:abstractNumId w:val="3"/>
  </w:num>
  <w:num w:numId="9">
    <w:abstractNumId w:val="24"/>
  </w:num>
  <w:num w:numId="10">
    <w:abstractNumId w:val="1"/>
  </w:num>
  <w:num w:numId="11">
    <w:abstractNumId w:val="27"/>
  </w:num>
  <w:num w:numId="12">
    <w:abstractNumId w:val="29"/>
  </w:num>
  <w:num w:numId="13">
    <w:abstractNumId w:val="19"/>
  </w:num>
  <w:num w:numId="14">
    <w:abstractNumId w:val="18"/>
  </w:num>
  <w:num w:numId="15">
    <w:abstractNumId w:val="23"/>
  </w:num>
  <w:num w:numId="16">
    <w:abstractNumId w:val="10"/>
  </w:num>
  <w:num w:numId="17">
    <w:abstractNumId w:val="17"/>
  </w:num>
  <w:num w:numId="18">
    <w:abstractNumId w:val="31"/>
  </w:num>
  <w:num w:numId="19">
    <w:abstractNumId w:val="30"/>
  </w:num>
  <w:num w:numId="20">
    <w:abstractNumId w:val="7"/>
  </w:num>
  <w:num w:numId="21">
    <w:abstractNumId w:val="2"/>
  </w:num>
  <w:num w:numId="22">
    <w:abstractNumId w:val="16"/>
  </w:num>
  <w:num w:numId="23">
    <w:abstractNumId w:val="12"/>
  </w:num>
  <w:num w:numId="24">
    <w:abstractNumId w:val="26"/>
  </w:num>
  <w:num w:numId="25">
    <w:abstractNumId w:val="25"/>
  </w:num>
  <w:num w:numId="26">
    <w:abstractNumId w:val="32"/>
  </w:num>
  <w:num w:numId="27">
    <w:abstractNumId w:val="22"/>
  </w:num>
  <w:num w:numId="28">
    <w:abstractNumId w:val="6"/>
  </w:num>
  <w:num w:numId="29">
    <w:abstractNumId w:val="9"/>
  </w:num>
  <w:num w:numId="30">
    <w:abstractNumId w:val="11"/>
  </w:num>
  <w:num w:numId="31">
    <w:abstractNumId w:val="13"/>
  </w:num>
  <w:num w:numId="32">
    <w:abstractNumId w:val="20"/>
  </w:num>
  <w:num w:numId="33">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MrIwNbAwMjcwMDVR0lEKTi0uzszPAykwqQUABNfsUSwAAAA="/>
  </w:docVars>
  <w:rsids>
    <w:rsidRoot w:val="007B244F"/>
    <w:rsid w:val="000151FE"/>
    <w:rsid w:val="00025D79"/>
    <w:rsid w:val="0004766D"/>
    <w:rsid w:val="00090889"/>
    <w:rsid w:val="000C3212"/>
    <w:rsid w:val="000D5D58"/>
    <w:rsid w:val="001024B2"/>
    <w:rsid w:val="00114F2B"/>
    <w:rsid w:val="001A71FD"/>
    <w:rsid w:val="001C6E33"/>
    <w:rsid w:val="001F2187"/>
    <w:rsid w:val="0020271D"/>
    <w:rsid w:val="00222A7E"/>
    <w:rsid w:val="002746BC"/>
    <w:rsid w:val="00275A5F"/>
    <w:rsid w:val="002A6440"/>
    <w:rsid w:val="002A7DAE"/>
    <w:rsid w:val="002B2256"/>
    <w:rsid w:val="002E3B74"/>
    <w:rsid w:val="00323556"/>
    <w:rsid w:val="00345BD5"/>
    <w:rsid w:val="003979B5"/>
    <w:rsid w:val="003A7A3F"/>
    <w:rsid w:val="003D064B"/>
    <w:rsid w:val="003E1288"/>
    <w:rsid w:val="0040564A"/>
    <w:rsid w:val="00410F6A"/>
    <w:rsid w:val="004353AF"/>
    <w:rsid w:val="00447513"/>
    <w:rsid w:val="00453751"/>
    <w:rsid w:val="00496148"/>
    <w:rsid w:val="00496B0A"/>
    <w:rsid w:val="004D5245"/>
    <w:rsid w:val="004F3ED9"/>
    <w:rsid w:val="005149FD"/>
    <w:rsid w:val="00590171"/>
    <w:rsid w:val="005F0E43"/>
    <w:rsid w:val="006250C5"/>
    <w:rsid w:val="00660FB5"/>
    <w:rsid w:val="00674028"/>
    <w:rsid w:val="0069508F"/>
    <w:rsid w:val="006A1590"/>
    <w:rsid w:val="006D7254"/>
    <w:rsid w:val="007679F2"/>
    <w:rsid w:val="007B244F"/>
    <w:rsid w:val="007D2320"/>
    <w:rsid w:val="007E5AE0"/>
    <w:rsid w:val="00815CDB"/>
    <w:rsid w:val="008162A1"/>
    <w:rsid w:val="00835AED"/>
    <w:rsid w:val="0084157A"/>
    <w:rsid w:val="008812D5"/>
    <w:rsid w:val="008B1354"/>
    <w:rsid w:val="008D1A0A"/>
    <w:rsid w:val="008D6CD8"/>
    <w:rsid w:val="008F0DD6"/>
    <w:rsid w:val="008F402C"/>
    <w:rsid w:val="009650CD"/>
    <w:rsid w:val="009E55FC"/>
    <w:rsid w:val="00A2286E"/>
    <w:rsid w:val="00A23032"/>
    <w:rsid w:val="00A43C69"/>
    <w:rsid w:val="00A77A21"/>
    <w:rsid w:val="00AB15A6"/>
    <w:rsid w:val="00AE0838"/>
    <w:rsid w:val="00AF0CB4"/>
    <w:rsid w:val="00B15D54"/>
    <w:rsid w:val="00B35A16"/>
    <w:rsid w:val="00B72A57"/>
    <w:rsid w:val="00B84EE7"/>
    <w:rsid w:val="00BA35E1"/>
    <w:rsid w:val="00BF1AE0"/>
    <w:rsid w:val="00BF2E9A"/>
    <w:rsid w:val="00BF3ED2"/>
    <w:rsid w:val="00C30FE9"/>
    <w:rsid w:val="00C46730"/>
    <w:rsid w:val="00C60174"/>
    <w:rsid w:val="00C61FCB"/>
    <w:rsid w:val="00C94B6A"/>
    <w:rsid w:val="00C96C17"/>
    <w:rsid w:val="00CE3C6C"/>
    <w:rsid w:val="00D25EA0"/>
    <w:rsid w:val="00D41D25"/>
    <w:rsid w:val="00D57794"/>
    <w:rsid w:val="00DA7F04"/>
    <w:rsid w:val="00DB3E54"/>
    <w:rsid w:val="00DC2EA4"/>
    <w:rsid w:val="00DF49A6"/>
    <w:rsid w:val="00E24EBA"/>
    <w:rsid w:val="00E5228D"/>
    <w:rsid w:val="00E6768A"/>
    <w:rsid w:val="00E80CA7"/>
    <w:rsid w:val="00EA1CCF"/>
    <w:rsid w:val="00EF22B8"/>
    <w:rsid w:val="00F12B69"/>
    <w:rsid w:val="00F31C81"/>
    <w:rsid w:val="00F542E1"/>
    <w:rsid w:val="00F62F84"/>
    <w:rsid w:val="00F719AF"/>
    <w:rsid w:val="00F734FF"/>
    <w:rsid w:val="00F8797A"/>
    <w:rsid w:val="00F956EC"/>
    <w:rsid w:val="00FB3B6B"/>
    <w:rsid w:val="00FF7A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E3D18"/>
  <w15:docId w15:val="{9069387B-410C-48E8-8C2C-0AF3B666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46BC"/>
  </w:style>
  <w:style w:type="paragraph" w:styleId="Heading1">
    <w:name w:val="heading 1"/>
    <w:basedOn w:val="Normal"/>
    <w:next w:val="Normal"/>
    <w:link w:val="Heading1Char"/>
    <w:qFormat/>
    <w:rsid w:val="00345BD5"/>
    <w:pPr>
      <w:keepNext/>
      <w:keepLines/>
      <w:spacing w:before="240" w:after="0"/>
      <w:outlineLvl w:val="0"/>
    </w:pPr>
    <w:rPr>
      <w:rFonts w:eastAsiaTheme="majorEastAsia" w:cstheme="majorBidi"/>
      <w:color w:val="005395"/>
      <w:sz w:val="40"/>
      <w:szCs w:val="32"/>
    </w:rPr>
  </w:style>
  <w:style w:type="paragraph" w:styleId="Heading2">
    <w:name w:val="heading 2"/>
    <w:basedOn w:val="Normal"/>
    <w:next w:val="Normal"/>
    <w:link w:val="Heading2Char"/>
    <w:autoRedefine/>
    <w:unhideWhenUsed/>
    <w:qFormat/>
    <w:rsid w:val="007E5AE0"/>
    <w:pPr>
      <w:keepNext/>
      <w:keepLines/>
      <w:spacing w:before="360" w:after="120" w:line="276" w:lineRule="auto"/>
      <w:ind w:left="115"/>
      <w:outlineLvl w:val="1"/>
    </w:pPr>
    <w:rPr>
      <w:rFonts w:eastAsiaTheme="majorEastAsia" w:cstheme="majorBidi"/>
      <w:b/>
      <w:bCs/>
      <w:color w:val="005395"/>
    </w:rPr>
  </w:style>
  <w:style w:type="paragraph" w:styleId="Heading3">
    <w:name w:val="heading 3"/>
    <w:basedOn w:val="Normal"/>
    <w:next w:val="Normal"/>
    <w:link w:val="Heading3Char"/>
    <w:autoRedefine/>
    <w:uiPriority w:val="9"/>
    <w:unhideWhenUsed/>
    <w:qFormat/>
    <w:rsid w:val="00345BD5"/>
    <w:pPr>
      <w:keepLines/>
      <w:spacing w:before="240" w:after="120" w:line="0" w:lineRule="atLeast"/>
      <w:outlineLvl w:val="2"/>
    </w:pPr>
    <w:rPr>
      <w:rFonts w:eastAsiaTheme="majorEastAsia" w:cstheme="majorBidi"/>
      <w:b/>
      <w:color w:val="000000" w:themeColor="text1"/>
      <w:sz w:val="24"/>
      <w:szCs w:val="24"/>
    </w:rPr>
  </w:style>
  <w:style w:type="paragraph" w:styleId="Heading4">
    <w:name w:val="heading 4"/>
    <w:basedOn w:val="Normal"/>
    <w:next w:val="Normal"/>
    <w:link w:val="Heading4Char"/>
    <w:autoRedefine/>
    <w:unhideWhenUsed/>
    <w:qFormat/>
    <w:rsid w:val="00660FB5"/>
    <w:pPr>
      <w:keepNext/>
      <w:keepLines/>
      <w:numPr>
        <w:numId w:val="26"/>
      </w:numPr>
      <w:spacing w:before="360" w:after="120" w:line="0" w:lineRule="atLeast"/>
      <w:outlineLvl w:val="3"/>
    </w:pPr>
    <w:rPr>
      <w:rFonts w:eastAsiaTheme="majorEastAsia" w:cstheme="majorBidi"/>
      <w:b/>
      <w:i/>
      <w:iCs/>
      <w:color w:val="265EAC"/>
    </w:rPr>
  </w:style>
  <w:style w:type="paragraph" w:styleId="Heading5">
    <w:name w:val="heading 5"/>
    <w:basedOn w:val="Normal"/>
    <w:next w:val="Normal"/>
    <w:link w:val="Heading5Char"/>
    <w:qFormat/>
    <w:rsid w:val="007B244F"/>
    <w:pPr>
      <w:widowControl w:val="0"/>
      <w:spacing w:before="240" w:after="60" w:line="240" w:lineRule="auto"/>
      <w:outlineLvl w:val="4"/>
    </w:pPr>
    <w:rPr>
      <w:rFonts w:ascii="Times New Roman" w:eastAsia="Times New Roman" w:hAnsi="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0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838"/>
  </w:style>
  <w:style w:type="paragraph" w:styleId="Footer">
    <w:name w:val="footer"/>
    <w:basedOn w:val="Normal"/>
    <w:link w:val="FooterChar"/>
    <w:uiPriority w:val="99"/>
    <w:unhideWhenUsed/>
    <w:rsid w:val="00AE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38"/>
  </w:style>
  <w:style w:type="paragraph" w:customStyle="1" w:styleId="MainHeading">
    <w:name w:val="Main Heading"/>
    <w:basedOn w:val="Normal"/>
    <w:qFormat/>
    <w:rsid w:val="0069508F"/>
    <w:pPr>
      <w:spacing w:before="240" w:after="60"/>
      <w:ind w:left="199" w:right="199"/>
      <w:outlineLvl w:val="0"/>
    </w:pPr>
    <w:rPr>
      <w:rFonts w:eastAsia="Times New Roman" w:cs="Arial"/>
      <w:bCs/>
      <w:color w:val="005395"/>
      <w:kern w:val="28"/>
      <w:sz w:val="48"/>
      <w:szCs w:val="32"/>
      <w:lang w:eastAsia="en-AU"/>
    </w:rPr>
  </w:style>
  <w:style w:type="paragraph" w:customStyle="1" w:styleId="Subtitle2">
    <w:name w:val="Subtitle2"/>
    <w:basedOn w:val="Normal"/>
    <w:qFormat/>
    <w:rsid w:val="00A77A21"/>
    <w:pPr>
      <w:tabs>
        <w:tab w:val="left" w:pos="4240"/>
      </w:tabs>
      <w:spacing w:after="360" w:line="480" w:lineRule="exact"/>
      <w:ind w:left="199" w:right="199"/>
    </w:pPr>
    <w:rPr>
      <w:rFonts w:eastAsia="Times New Roman" w:cs="Times New Roman"/>
      <w:color w:val="265EAC"/>
      <w:sz w:val="44"/>
      <w:szCs w:val="48"/>
      <w:lang w:eastAsia="en-AU"/>
    </w:rPr>
  </w:style>
  <w:style w:type="paragraph" w:styleId="BalloonText">
    <w:name w:val="Balloon Text"/>
    <w:basedOn w:val="Normal"/>
    <w:link w:val="BalloonTextChar"/>
    <w:uiPriority w:val="99"/>
    <w:semiHidden/>
    <w:unhideWhenUsed/>
    <w:rsid w:val="00C30FE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FE9"/>
    <w:rPr>
      <w:rFonts w:ascii="Lucida Grande" w:hAnsi="Lucida Grande"/>
      <w:sz w:val="18"/>
      <w:szCs w:val="18"/>
    </w:rPr>
  </w:style>
  <w:style w:type="table" w:styleId="TableGrid">
    <w:name w:val="Table Grid"/>
    <w:basedOn w:val="TableNormal"/>
    <w:uiPriority w:val="39"/>
    <w:rsid w:val="00F734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734FF"/>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734FF"/>
    <w:rPr>
      <w:rFonts w:asciiTheme="minorHAnsi" w:hAnsiTheme="minorHAnsi"/>
      <w:sz w:val="20"/>
      <w:szCs w:val="20"/>
    </w:rPr>
  </w:style>
  <w:style w:type="character" w:styleId="FootnoteReference">
    <w:name w:val="footnote reference"/>
    <w:basedOn w:val="DefaultParagraphFont"/>
    <w:semiHidden/>
    <w:unhideWhenUsed/>
    <w:rsid w:val="00F734FF"/>
    <w:rPr>
      <w:vertAlign w:val="superscript"/>
    </w:rPr>
  </w:style>
  <w:style w:type="paragraph" w:styleId="ListParagraph">
    <w:name w:val="List Paragraph"/>
    <w:basedOn w:val="Normal"/>
    <w:uiPriority w:val="1"/>
    <w:qFormat/>
    <w:rsid w:val="00F734FF"/>
    <w:pPr>
      <w:spacing w:after="200" w:line="276"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F734FF"/>
    <w:rPr>
      <w:sz w:val="16"/>
      <w:szCs w:val="16"/>
    </w:rPr>
  </w:style>
  <w:style w:type="paragraph" w:styleId="CommentText">
    <w:name w:val="annotation text"/>
    <w:basedOn w:val="Normal"/>
    <w:link w:val="CommentTextChar"/>
    <w:uiPriority w:val="99"/>
    <w:semiHidden/>
    <w:unhideWhenUsed/>
    <w:rsid w:val="00F734FF"/>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734F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34FF"/>
    <w:rPr>
      <w:b/>
      <w:bCs/>
    </w:rPr>
  </w:style>
  <w:style w:type="character" w:customStyle="1" w:styleId="CommentSubjectChar">
    <w:name w:val="Comment Subject Char"/>
    <w:basedOn w:val="CommentTextChar"/>
    <w:link w:val="CommentSubject"/>
    <w:uiPriority w:val="99"/>
    <w:semiHidden/>
    <w:rsid w:val="00F734FF"/>
    <w:rPr>
      <w:rFonts w:asciiTheme="minorHAnsi" w:hAnsiTheme="minorHAnsi"/>
      <w:b/>
      <w:bCs/>
      <w:sz w:val="20"/>
      <w:szCs w:val="20"/>
    </w:rPr>
  </w:style>
  <w:style w:type="paragraph" w:styleId="BodyTextIndent">
    <w:name w:val="Body Text Indent"/>
    <w:basedOn w:val="Normal"/>
    <w:link w:val="BodyTextIndentChar"/>
    <w:rsid w:val="00F734FF"/>
    <w:pPr>
      <w:spacing w:after="0" w:line="240" w:lineRule="auto"/>
      <w:ind w:left="720"/>
    </w:pPr>
    <w:rPr>
      <w:rFonts w:ascii="Palatino Linotype" w:eastAsia="Times New Roman" w:hAnsi="Palatino Linotype" w:cs="Times New Roman"/>
      <w:sz w:val="24"/>
      <w:szCs w:val="20"/>
      <w:lang w:val="en-US"/>
    </w:rPr>
  </w:style>
  <w:style w:type="character" w:customStyle="1" w:styleId="BodyTextIndentChar">
    <w:name w:val="Body Text Indent Char"/>
    <w:basedOn w:val="DefaultParagraphFont"/>
    <w:link w:val="BodyTextIndent"/>
    <w:rsid w:val="00F734FF"/>
    <w:rPr>
      <w:rFonts w:ascii="Palatino Linotype" w:eastAsia="Times New Roman" w:hAnsi="Palatino Linotype" w:cs="Times New Roman"/>
      <w:sz w:val="24"/>
      <w:szCs w:val="20"/>
      <w:lang w:val="en-US"/>
    </w:rPr>
  </w:style>
  <w:style w:type="character" w:customStyle="1" w:styleId="Heading1Char">
    <w:name w:val="Heading 1 Char"/>
    <w:basedOn w:val="DefaultParagraphFont"/>
    <w:link w:val="Heading1"/>
    <w:rsid w:val="00345BD5"/>
    <w:rPr>
      <w:rFonts w:eastAsiaTheme="majorEastAsia" w:cstheme="majorBidi"/>
      <w:color w:val="005395"/>
      <w:sz w:val="40"/>
      <w:szCs w:val="32"/>
    </w:rPr>
  </w:style>
  <w:style w:type="character" w:customStyle="1" w:styleId="Heading2Char">
    <w:name w:val="Heading 2 Char"/>
    <w:basedOn w:val="DefaultParagraphFont"/>
    <w:link w:val="Heading2"/>
    <w:rsid w:val="007E5AE0"/>
    <w:rPr>
      <w:rFonts w:eastAsiaTheme="majorEastAsia" w:cstheme="majorBidi"/>
      <w:b/>
      <w:bCs/>
      <w:color w:val="005395"/>
    </w:rPr>
  </w:style>
  <w:style w:type="character" w:customStyle="1" w:styleId="Heading3Char">
    <w:name w:val="Heading 3 Char"/>
    <w:basedOn w:val="DefaultParagraphFont"/>
    <w:link w:val="Heading3"/>
    <w:uiPriority w:val="9"/>
    <w:rsid w:val="00345BD5"/>
    <w:rPr>
      <w:rFonts w:eastAsiaTheme="majorEastAsia" w:cstheme="majorBidi"/>
      <w:b/>
      <w:color w:val="000000" w:themeColor="text1"/>
      <w:sz w:val="24"/>
      <w:szCs w:val="24"/>
    </w:rPr>
  </w:style>
  <w:style w:type="table" w:styleId="GridTable1Light-Accent1">
    <w:name w:val="Grid Table 1 Light Accent 1"/>
    <w:aliases w:val="Accessible Table"/>
    <w:basedOn w:val="TableNormal"/>
    <w:uiPriority w:val="46"/>
    <w:rsid w:val="00AB15A6"/>
    <w:pPr>
      <w:spacing w:after="0" w:line="240" w:lineRule="auto"/>
      <w:jc w:val="center"/>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cPr>
      <w:shd w:val="clear" w:color="auto" w:fill="FFFFFF" w:themeFill="background1"/>
      <w:vAlign w:val="center"/>
    </w:tcPr>
    <w:tblStylePr w:type="firstRow">
      <w:rPr>
        <w:b/>
        <w:bCs/>
      </w:rPr>
      <w:tblPr/>
      <w:trPr>
        <w:cantSplit/>
        <w:tblHeader/>
      </w:tr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77A2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rsid w:val="00660FB5"/>
    <w:rPr>
      <w:rFonts w:eastAsiaTheme="majorEastAsia" w:cstheme="majorBidi"/>
      <w:b/>
      <w:i/>
      <w:iCs/>
      <w:color w:val="265EAC"/>
    </w:rPr>
  </w:style>
  <w:style w:type="table" w:styleId="PlainTable1">
    <w:name w:val="Plain Table 1"/>
    <w:basedOn w:val="TableNormal"/>
    <w:uiPriority w:val="41"/>
    <w:rsid w:val="00C601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0908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7B244F"/>
    <w:rPr>
      <w:rFonts w:ascii="Times New Roman" w:eastAsia="Times New Roman" w:hAnsi="Times New Roman" w:cs="Times New Roman"/>
      <w:snapToGrid w:val="0"/>
      <w:szCs w:val="20"/>
      <w:lang w:val="en-US"/>
    </w:rPr>
  </w:style>
  <w:style w:type="paragraph" w:styleId="BodyText">
    <w:name w:val="Body Text"/>
    <w:basedOn w:val="Normal"/>
    <w:link w:val="BodyTextChar"/>
    <w:semiHidden/>
    <w:rsid w:val="007B244F"/>
    <w:pPr>
      <w:autoSpaceDE w:val="0"/>
      <w:autoSpaceDN w:val="0"/>
      <w:adjustRightInd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semiHidden/>
    <w:rsid w:val="007B244F"/>
    <w:rPr>
      <w:rFonts w:ascii="Times New Roman" w:eastAsia="Times New Roman" w:hAnsi="Times New Roman" w:cs="Times New Roman"/>
      <w:sz w:val="28"/>
      <w:szCs w:val="28"/>
      <w:lang w:val="en-US"/>
    </w:rPr>
  </w:style>
  <w:style w:type="character" w:styleId="PageNumber">
    <w:name w:val="page number"/>
    <w:basedOn w:val="DefaultParagraphFont"/>
    <w:semiHidden/>
    <w:rsid w:val="007B244F"/>
  </w:style>
  <w:style w:type="paragraph" w:styleId="TOC1">
    <w:name w:val="toc 1"/>
    <w:aliases w:val="Gill Sans MT"/>
    <w:basedOn w:val="Normal"/>
    <w:next w:val="Normal"/>
    <w:uiPriority w:val="39"/>
    <w:rsid w:val="00835AED"/>
    <w:pPr>
      <w:widowControl w:val="0"/>
      <w:spacing w:before="120" w:after="120" w:line="240" w:lineRule="auto"/>
    </w:pPr>
    <w:rPr>
      <w:rFonts w:eastAsia="Times New Roman" w:cs="Times New Roman"/>
      <w:b/>
      <w:sz w:val="20"/>
      <w:szCs w:val="20"/>
      <w:lang w:val="en-US"/>
    </w:rPr>
  </w:style>
  <w:style w:type="paragraph" w:styleId="TOC2">
    <w:name w:val="toc 2"/>
    <w:basedOn w:val="Normal"/>
    <w:next w:val="Normal"/>
    <w:uiPriority w:val="39"/>
    <w:rsid w:val="007B244F"/>
    <w:pPr>
      <w:widowControl w:val="0"/>
      <w:spacing w:after="0" w:line="240" w:lineRule="auto"/>
      <w:ind w:left="240"/>
    </w:pPr>
    <w:rPr>
      <w:rFonts w:ascii="Times New Roman" w:eastAsia="Times New Roman" w:hAnsi="Times New Roman" w:cs="Times New Roman"/>
      <w:smallCaps/>
      <w:sz w:val="20"/>
      <w:szCs w:val="20"/>
      <w:lang w:val="en-US"/>
    </w:rPr>
  </w:style>
  <w:style w:type="paragraph" w:styleId="TOC3">
    <w:name w:val="toc 3"/>
    <w:basedOn w:val="Normal"/>
    <w:next w:val="Normal"/>
    <w:uiPriority w:val="39"/>
    <w:rsid w:val="007B244F"/>
    <w:pPr>
      <w:widowControl w:val="0"/>
      <w:spacing w:after="0" w:line="240" w:lineRule="auto"/>
      <w:ind w:left="480"/>
    </w:pPr>
    <w:rPr>
      <w:rFonts w:ascii="Times New Roman" w:eastAsia="Times New Roman" w:hAnsi="Times New Roman" w:cs="Times New Roman"/>
      <w:i/>
      <w:sz w:val="20"/>
      <w:szCs w:val="20"/>
      <w:lang w:val="en-US"/>
    </w:rPr>
  </w:style>
  <w:style w:type="paragraph" w:styleId="TOC4">
    <w:name w:val="toc 4"/>
    <w:basedOn w:val="Normal"/>
    <w:next w:val="Normal"/>
    <w:semiHidden/>
    <w:rsid w:val="007B244F"/>
    <w:pPr>
      <w:widowControl w:val="0"/>
      <w:spacing w:after="0" w:line="240" w:lineRule="auto"/>
      <w:ind w:left="720"/>
    </w:pPr>
    <w:rPr>
      <w:rFonts w:ascii="Times New Roman" w:eastAsia="Times New Roman" w:hAnsi="Times New Roman" w:cs="Times New Roman"/>
      <w:sz w:val="18"/>
      <w:szCs w:val="20"/>
      <w:lang w:val="en-US"/>
    </w:rPr>
  </w:style>
  <w:style w:type="paragraph" w:customStyle="1" w:styleId="Level1">
    <w:name w:val="Level 1"/>
    <w:basedOn w:val="Normal"/>
    <w:rsid w:val="007B244F"/>
    <w:pPr>
      <w:widowControl w:val="0"/>
      <w:numPr>
        <w:numId w:val="1"/>
      </w:numPr>
      <w:spacing w:after="0" w:line="240" w:lineRule="auto"/>
      <w:ind w:left="720" w:hanging="720"/>
      <w:outlineLvl w:val="0"/>
    </w:pPr>
    <w:rPr>
      <w:rFonts w:ascii="Times New Roman" w:eastAsia="Times New Roman" w:hAnsi="Times New Roman" w:cs="Times New Roman"/>
      <w:snapToGrid w:val="0"/>
      <w:sz w:val="24"/>
      <w:szCs w:val="20"/>
      <w:lang w:val="en-US"/>
    </w:rPr>
  </w:style>
  <w:style w:type="paragraph" w:customStyle="1" w:styleId="1AutoList27">
    <w:name w:val="1AutoList27"/>
    <w:rsid w:val="007B244F"/>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27">
    <w:name w:val="2AutoList27"/>
    <w:rsid w:val="007B244F"/>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7B244F"/>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7B244F"/>
    <w:rPr>
      <w:rFonts w:ascii="Times New Roman" w:eastAsia="Times New Roman" w:hAnsi="Times New Roman" w:cs="Times New Roman"/>
      <w:sz w:val="28"/>
      <w:szCs w:val="24"/>
    </w:rPr>
  </w:style>
  <w:style w:type="paragraph" w:styleId="BodyText3">
    <w:name w:val="Body Text 3"/>
    <w:basedOn w:val="Normal"/>
    <w:link w:val="BodyText3Char"/>
    <w:semiHidden/>
    <w:rsid w:val="007B244F"/>
    <w:pPr>
      <w:widowControl w:val="0"/>
      <w:spacing w:after="0" w:line="240" w:lineRule="auto"/>
      <w:jc w:val="both"/>
    </w:pPr>
    <w:rPr>
      <w:rFonts w:ascii="Times New Roman" w:eastAsia="Times New Roman" w:hAnsi="Times New Roman" w:cs="Times New Roman"/>
      <w:i/>
      <w:snapToGrid w:val="0"/>
      <w:sz w:val="24"/>
      <w:szCs w:val="20"/>
    </w:rPr>
  </w:style>
  <w:style w:type="character" w:customStyle="1" w:styleId="BodyText3Char">
    <w:name w:val="Body Text 3 Char"/>
    <w:basedOn w:val="DefaultParagraphFont"/>
    <w:link w:val="BodyText3"/>
    <w:semiHidden/>
    <w:rsid w:val="007B244F"/>
    <w:rPr>
      <w:rFonts w:ascii="Times New Roman" w:eastAsia="Times New Roman" w:hAnsi="Times New Roman" w:cs="Times New Roman"/>
      <w:i/>
      <w:snapToGrid w:val="0"/>
      <w:sz w:val="24"/>
      <w:szCs w:val="20"/>
    </w:rPr>
  </w:style>
  <w:style w:type="paragraph" w:styleId="TOCHeading">
    <w:name w:val="TOC Heading"/>
    <w:basedOn w:val="Heading1"/>
    <w:next w:val="Normal"/>
    <w:uiPriority w:val="39"/>
    <w:unhideWhenUsed/>
    <w:qFormat/>
    <w:rsid w:val="006D7254"/>
    <w:pPr>
      <w:outlineLvl w:val="9"/>
    </w:pPr>
    <w:rPr>
      <w:rFonts w:asciiTheme="majorHAnsi" w:hAnsiTheme="majorHAnsi"/>
      <w:color w:val="365F91" w:themeColor="accent1" w:themeShade="BF"/>
      <w:sz w:val="32"/>
    </w:rPr>
  </w:style>
  <w:style w:type="paragraph" w:customStyle="1" w:styleId="TableParagraph">
    <w:name w:val="Table Paragraph"/>
    <w:basedOn w:val="Normal"/>
    <w:uiPriority w:val="1"/>
    <w:qFormat/>
    <w:rsid w:val="006D7254"/>
    <w:pPr>
      <w:widowControl w:val="0"/>
      <w:spacing w:after="0" w:line="240" w:lineRule="auto"/>
    </w:pPr>
    <w:rPr>
      <w:rFonts w:asciiTheme="minorHAnsi" w:hAnsiTheme="minorHAnsi"/>
      <w:lang w:val="en-US"/>
    </w:rPr>
  </w:style>
  <w:style w:type="character" w:styleId="Hyperlink">
    <w:name w:val="Hyperlink"/>
    <w:basedOn w:val="DefaultParagraphFont"/>
    <w:uiPriority w:val="99"/>
    <w:unhideWhenUsed/>
    <w:rsid w:val="006D7254"/>
    <w:rPr>
      <w:color w:val="0000FF" w:themeColor="hyperlink"/>
      <w:u w:val="single"/>
    </w:rPr>
  </w:style>
  <w:style w:type="paragraph" w:styleId="Date">
    <w:name w:val="Date"/>
    <w:basedOn w:val="Normal"/>
    <w:next w:val="Normal"/>
    <w:link w:val="DateChar"/>
    <w:semiHidden/>
    <w:rsid w:val="006D7254"/>
    <w:pPr>
      <w:tabs>
        <w:tab w:val="left" w:pos="567"/>
      </w:tabs>
      <w:spacing w:after="0" w:line="480" w:lineRule="atLeast"/>
    </w:pPr>
    <w:rPr>
      <w:rFonts w:eastAsia="Times New Roman" w:cs="Times New Roman"/>
      <w:sz w:val="28"/>
    </w:rPr>
  </w:style>
  <w:style w:type="character" w:customStyle="1" w:styleId="DateChar">
    <w:name w:val="Date Char"/>
    <w:basedOn w:val="DefaultParagraphFont"/>
    <w:link w:val="Date"/>
    <w:semiHidden/>
    <w:rsid w:val="006D7254"/>
    <w:rPr>
      <w:rFonts w:eastAsia="Times New Roman" w:cs="Times New Roman"/>
      <w:sz w:val="28"/>
    </w:rPr>
  </w:style>
  <w:style w:type="paragraph" w:styleId="TOC7">
    <w:name w:val="toc 7"/>
    <w:basedOn w:val="Normal"/>
    <w:next w:val="Normal"/>
    <w:autoRedefine/>
    <w:uiPriority w:val="39"/>
    <w:semiHidden/>
    <w:unhideWhenUsed/>
    <w:rsid w:val="00835AED"/>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4872">
      <w:bodyDiv w:val="1"/>
      <w:marLeft w:val="0"/>
      <w:marRight w:val="0"/>
      <w:marTop w:val="0"/>
      <w:marBottom w:val="0"/>
      <w:divBdr>
        <w:top w:val="none" w:sz="0" w:space="0" w:color="auto"/>
        <w:left w:val="none" w:sz="0" w:space="0" w:color="auto"/>
        <w:bottom w:val="none" w:sz="0" w:space="0" w:color="auto"/>
        <w:right w:val="none" w:sz="0" w:space="0" w:color="auto"/>
      </w:divBdr>
    </w:div>
    <w:div w:id="125050456">
      <w:bodyDiv w:val="1"/>
      <w:marLeft w:val="0"/>
      <w:marRight w:val="0"/>
      <w:marTop w:val="0"/>
      <w:marBottom w:val="0"/>
      <w:divBdr>
        <w:top w:val="none" w:sz="0" w:space="0" w:color="auto"/>
        <w:left w:val="none" w:sz="0" w:space="0" w:color="auto"/>
        <w:bottom w:val="none" w:sz="0" w:space="0" w:color="auto"/>
        <w:right w:val="none" w:sz="0" w:space="0" w:color="auto"/>
      </w:divBdr>
    </w:div>
    <w:div w:id="1405684611">
      <w:bodyDiv w:val="1"/>
      <w:marLeft w:val="0"/>
      <w:marRight w:val="0"/>
      <w:marTop w:val="0"/>
      <w:marBottom w:val="0"/>
      <w:divBdr>
        <w:top w:val="none" w:sz="0" w:space="0" w:color="auto"/>
        <w:left w:val="none" w:sz="0" w:space="0" w:color="auto"/>
        <w:bottom w:val="none" w:sz="0" w:space="0" w:color="auto"/>
        <w:right w:val="none" w:sz="0" w:space="0" w:color="auto"/>
      </w:divBdr>
    </w:div>
    <w:div w:id="19684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tas.gov.au/health-topics/radiation-prote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eskell\AppData\Local\Microsoft\Windows\INetCache\Content.Outlook\K3PPGBBT\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8F10-37A5-4E25-BF4B-DE617716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template.dotx</Template>
  <TotalTime>2</TotalTime>
  <Pages>9</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Guideline for Shielding Design and Validation of X-ray Facility</vt:lpstr>
    </vt:vector>
  </TitlesOfParts>
  <Company>DHHS</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Shielding Design and Validation of X-ray Facility</dc:title>
  <dc:creator>Meskell, Petrina K</dc:creator>
  <cp:lastModifiedBy>Radivojevic, Tracey L</cp:lastModifiedBy>
  <cp:revision>3</cp:revision>
  <cp:lastPrinted>2014-01-14T03:33:00Z</cp:lastPrinted>
  <dcterms:created xsi:type="dcterms:W3CDTF">2022-04-04T01:24:00Z</dcterms:created>
  <dcterms:modified xsi:type="dcterms:W3CDTF">2022-04-04T01:28:00Z</dcterms:modified>
</cp:coreProperties>
</file>