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9A" w:rsidRPr="00180CEE" w:rsidRDefault="00BF2E9A" w:rsidP="00180CEE"/>
    <w:p w:rsidR="00AE0838" w:rsidRPr="00180CEE" w:rsidRDefault="00AE0838" w:rsidP="00180CEE"/>
    <w:p w:rsidR="00A16A1C" w:rsidRPr="00A16A1C" w:rsidRDefault="00A16A1C" w:rsidP="00996ADB">
      <w:pPr>
        <w:pStyle w:val="MainHeading"/>
        <w:spacing w:before="0" w:after="140"/>
        <w:ind w:left="0" w:right="0"/>
        <w:jc w:val="center"/>
        <w:rPr>
          <w:sz w:val="144"/>
          <w:szCs w:val="144"/>
        </w:rPr>
      </w:pPr>
    </w:p>
    <w:p w:rsidR="00A16A1C" w:rsidRPr="00A16A1C" w:rsidRDefault="00A16A1C" w:rsidP="00996ADB">
      <w:pPr>
        <w:pStyle w:val="MainHeading"/>
        <w:spacing w:before="0" w:after="140"/>
        <w:ind w:left="0" w:right="0"/>
        <w:jc w:val="center"/>
        <w:rPr>
          <w:sz w:val="144"/>
          <w:szCs w:val="144"/>
        </w:rPr>
      </w:pPr>
    </w:p>
    <w:p w:rsidR="001F2187" w:rsidRPr="00180CEE" w:rsidRDefault="00996ADB" w:rsidP="00996ADB">
      <w:pPr>
        <w:pStyle w:val="MainHeading"/>
        <w:spacing w:before="0" w:after="140"/>
        <w:ind w:left="0" w:right="0"/>
        <w:jc w:val="center"/>
        <w:rPr>
          <w:color w:val="005395"/>
        </w:rPr>
      </w:pPr>
      <w:r>
        <w:rPr>
          <w:color w:val="005395"/>
        </w:rPr>
        <w:t xml:space="preserve">Tasmanian guidance on </w:t>
      </w:r>
      <w:r>
        <w:rPr>
          <w:color w:val="005395"/>
        </w:rPr>
        <w:br/>
        <w:t>pre-exposure prophylaxis (</w:t>
      </w:r>
      <w:proofErr w:type="spellStart"/>
      <w:r>
        <w:rPr>
          <w:color w:val="005395"/>
        </w:rPr>
        <w:t>PrEP</w:t>
      </w:r>
      <w:proofErr w:type="spellEnd"/>
      <w:r>
        <w:rPr>
          <w:color w:val="005395"/>
        </w:rPr>
        <w:t>)</w:t>
      </w:r>
    </w:p>
    <w:p w:rsidR="00996ADB" w:rsidRDefault="00996ADB" w:rsidP="00180CEE">
      <w:pPr>
        <w:pStyle w:val="Subtitle2"/>
        <w:spacing w:after="140" w:line="300" w:lineRule="atLeast"/>
        <w:ind w:left="142" w:right="0"/>
        <w:rPr>
          <w:color w:val="09BEDD"/>
          <w:sz w:val="24"/>
          <w:szCs w:val="24"/>
        </w:rPr>
      </w:pPr>
    </w:p>
    <w:p w:rsidR="00996ADB" w:rsidRDefault="00996ADB" w:rsidP="00180CEE">
      <w:pPr>
        <w:pStyle w:val="Subtitle2"/>
        <w:spacing w:after="140" w:line="300" w:lineRule="atLeast"/>
        <w:ind w:left="142" w:right="0"/>
        <w:rPr>
          <w:color w:val="09BEDD"/>
          <w:sz w:val="24"/>
          <w:szCs w:val="24"/>
        </w:rPr>
      </w:pPr>
    </w:p>
    <w:p w:rsidR="00AE0838" w:rsidRPr="00996ADB" w:rsidRDefault="00996ADB" w:rsidP="00A16A1C">
      <w:pPr>
        <w:pStyle w:val="Subtitle2"/>
        <w:spacing w:after="140" w:line="300" w:lineRule="atLeast"/>
        <w:ind w:left="142" w:right="0"/>
        <w:jc w:val="right"/>
        <w:rPr>
          <w:color w:val="09BEDD"/>
          <w:sz w:val="24"/>
          <w:szCs w:val="24"/>
        </w:rPr>
        <w:sectPr w:rsidR="00AE0838" w:rsidRPr="00996ADB" w:rsidSect="00B84EE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r w:rsidRPr="00996ADB">
        <w:rPr>
          <w:color w:val="09BEDD"/>
          <w:sz w:val="24"/>
          <w:szCs w:val="24"/>
        </w:rPr>
        <w:t>April 2018</w:t>
      </w:r>
    </w:p>
    <w:p w:rsidR="00180CEE" w:rsidRPr="00180CEE" w:rsidRDefault="00180CEE" w:rsidP="00180CEE">
      <w:pPr>
        <w:pStyle w:val="DHHSbody"/>
        <w:spacing w:after="140" w:line="300" w:lineRule="atLeast"/>
        <w:rPr>
          <w:rFonts w:ascii="Gill Sans MT" w:hAnsi="Gill Sans MT" w:cs="Arial"/>
          <w:b/>
        </w:rPr>
      </w:pPr>
      <w:r w:rsidRPr="00180CEE">
        <w:rPr>
          <w:rFonts w:ascii="Gill Sans MT" w:hAnsi="Gill Sans MT" w:cs="Arial"/>
          <w:b/>
        </w:rPr>
        <w:lastRenderedPageBreak/>
        <w:t>Acknowledgement</w:t>
      </w:r>
    </w:p>
    <w:p w:rsidR="00180CEE" w:rsidRPr="00507E6D" w:rsidRDefault="00180CEE" w:rsidP="00180CEE">
      <w:pPr>
        <w:pStyle w:val="DHHSbody"/>
        <w:spacing w:after="140" w:line="300" w:lineRule="atLeast"/>
        <w:rPr>
          <w:rFonts w:ascii="Gill Sans MT" w:hAnsi="Gill Sans MT" w:cs="Arial"/>
          <w:sz w:val="22"/>
          <w:szCs w:val="22"/>
        </w:rPr>
      </w:pPr>
      <w:r w:rsidRPr="00507E6D">
        <w:rPr>
          <w:rFonts w:ascii="Gill Sans MT" w:hAnsi="Gill Sans MT" w:cs="Arial"/>
          <w:sz w:val="22"/>
          <w:szCs w:val="22"/>
        </w:rPr>
        <w:t xml:space="preserve">The Tasmanian Department of Health and Human Services thanks the Victorian Department of Health and Human Services for permission to use of their document </w:t>
      </w:r>
      <w:r w:rsidRPr="00507E6D">
        <w:rPr>
          <w:rFonts w:ascii="Gill Sans MT" w:hAnsi="Gill Sans MT" w:cs="Arial"/>
          <w:i/>
          <w:sz w:val="22"/>
          <w:szCs w:val="22"/>
        </w:rPr>
        <w:t>Victorian Guidance on pre-exposure prophylaxis (</w:t>
      </w:r>
      <w:proofErr w:type="spellStart"/>
      <w:r w:rsidRPr="00507E6D">
        <w:rPr>
          <w:rFonts w:ascii="Gill Sans MT" w:hAnsi="Gill Sans MT" w:cs="Arial"/>
          <w:i/>
          <w:sz w:val="22"/>
          <w:szCs w:val="22"/>
        </w:rPr>
        <w:t>PrEP</w:t>
      </w:r>
      <w:proofErr w:type="spellEnd"/>
      <w:r w:rsidRPr="00507E6D">
        <w:rPr>
          <w:rFonts w:ascii="Gill Sans MT" w:hAnsi="Gill Sans MT" w:cs="Arial"/>
          <w:i/>
          <w:sz w:val="22"/>
          <w:szCs w:val="22"/>
        </w:rPr>
        <w:t xml:space="preserve">) </w:t>
      </w:r>
      <w:r w:rsidR="00507E6D" w:rsidRPr="00507E6D">
        <w:rPr>
          <w:rFonts w:ascii="Gill Sans MT" w:hAnsi="Gill Sans MT" w:cs="Arial"/>
          <w:sz w:val="22"/>
          <w:szCs w:val="22"/>
        </w:rPr>
        <w:t>u</w:t>
      </w:r>
      <w:r w:rsidRPr="00507E6D">
        <w:rPr>
          <w:rFonts w:ascii="Gill Sans MT" w:hAnsi="Gill Sans MT" w:cs="Arial"/>
          <w:sz w:val="22"/>
          <w:szCs w:val="22"/>
        </w:rPr>
        <w:t>pdated April 2018</w:t>
      </w:r>
      <w:r w:rsidRPr="00507E6D">
        <w:rPr>
          <w:rFonts w:ascii="Gill Sans MT" w:hAnsi="Gill Sans MT" w:cs="Arial"/>
          <w:i/>
          <w:sz w:val="22"/>
          <w:szCs w:val="22"/>
        </w:rPr>
        <w:t xml:space="preserve"> </w:t>
      </w:r>
      <w:r w:rsidRPr="00507E6D">
        <w:rPr>
          <w:rFonts w:ascii="Gill Sans MT" w:hAnsi="Gill Sans MT" w:cs="Arial"/>
          <w:sz w:val="22"/>
          <w:szCs w:val="22"/>
        </w:rPr>
        <w:t>to form the basis of this document.</w:t>
      </w:r>
    </w:p>
    <w:p w:rsidR="00180CEE" w:rsidRPr="00507E6D" w:rsidRDefault="00180CEE" w:rsidP="00180CEE">
      <w:pPr>
        <w:jc w:val="both"/>
        <w:rPr>
          <w:rFonts w:eastAsia="Times" w:cs="Arial"/>
        </w:rPr>
      </w:pPr>
    </w:p>
    <w:p w:rsidR="00180CEE" w:rsidRPr="00507E6D" w:rsidRDefault="00507E6D" w:rsidP="00180CEE">
      <w:pPr>
        <w:jc w:val="both"/>
        <w:rPr>
          <w:rFonts w:eastAsia="Times" w:cs="Arial"/>
        </w:rPr>
      </w:pPr>
      <w:r w:rsidRPr="00507E6D">
        <w:rPr>
          <w:rFonts w:eastAsia="Times" w:cs="Arial"/>
        </w:rPr>
        <w:t xml:space="preserve">Available at </w:t>
      </w:r>
      <w:hyperlink r:id="rId15" w:history="1">
        <w:r w:rsidRPr="00507E6D">
          <w:rPr>
            <w:rStyle w:val="Hyperlink"/>
            <w:rFonts w:eastAsia="Times" w:cs="Arial"/>
          </w:rPr>
          <w:t>www.dhhs.tas.gov.au/</w:t>
        </w:r>
      </w:hyperlink>
      <w:r w:rsidRPr="00507E6D">
        <w:rPr>
          <w:rFonts w:eastAsia="Times" w:cs="Arial"/>
        </w:rPr>
        <w:t xml:space="preserve"> </w:t>
      </w:r>
    </w:p>
    <w:p w:rsidR="00180CEE" w:rsidRPr="00507E6D" w:rsidRDefault="00180CEE" w:rsidP="00180CEE">
      <w:pPr>
        <w:jc w:val="both"/>
        <w:rPr>
          <w:rFonts w:eastAsia="Times" w:cs="Arial"/>
        </w:rPr>
      </w:pPr>
    </w:p>
    <w:p w:rsidR="00180CEE" w:rsidRPr="00180CEE" w:rsidRDefault="00180CEE" w:rsidP="00180CEE">
      <w:pPr>
        <w:rPr>
          <w:rFonts w:eastAsia="Times" w:cs="Arial"/>
          <w:szCs w:val="19"/>
        </w:rPr>
      </w:pPr>
      <w:r w:rsidRPr="00180CEE">
        <w:rPr>
          <w:rFonts w:eastAsia="Times" w:cs="Arial"/>
          <w:color w:val="D50032"/>
        </w:rPr>
        <w:br w:type="page"/>
      </w:r>
    </w:p>
    <w:p w:rsidR="00180CEE" w:rsidRPr="00180CEE" w:rsidRDefault="00180CEE" w:rsidP="00180CEE">
      <w:pPr>
        <w:pStyle w:val="DHHSTOCheadingreport"/>
        <w:spacing w:after="140" w:line="300" w:lineRule="atLeast"/>
        <w:rPr>
          <w:rFonts w:ascii="Gill Sans MT" w:hAnsi="Gill Sans MT" w:cs="Arial"/>
        </w:rPr>
      </w:pPr>
      <w:r w:rsidRPr="00180CEE">
        <w:rPr>
          <w:rFonts w:ascii="Gill Sans MT" w:hAnsi="Gill Sans MT" w:cs="Arial"/>
        </w:rPr>
        <w:lastRenderedPageBreak/>
        <w:t>Contents</w:t>
      </w:r>
    </w:p>
    <w:p w:rsidR="00C132B1" w:rsidRDefault="00180CEE">
      <w:pPr>
        <w:pStyle w:val="TOC1"/>
        <w:tabs>
          <w:tab w:val="left" w:pos="567"/>
        </w:tabs>
        <w:rPr>
          <w:rFonts w:asciiTheme="minorHAnsi" w:eastAsiaTheme="minorEastAsia" w:hAnsiTheme="minorHAnsi" w:cstheme="minorBidi"/>
          <w:b w:val="0"/>
          <w:sz w:val="22"/>
          <w:szCs w:val="22"/>
          <w:lang w:eastAsia="en-AU"/>
        </w:rPr>
      </w:pPr>
      <w:r w:rsidRPr="00246D75">
        <w:rPr>
          <w:rFonts w:ascii="Gill Sans MT" w:hAnsi="Gill Sans MT" w:cs="Arial"/>
          <w:noProof w:val="0"/>
        </w:rPr>
        <w:fldChar w:fldCharType="begin"/>
      </w:r>
      <w:r w:rsidRPr="00246D75">
        <w:rPr>
          <w:rFonts w:ascii="Gill Sans MT" w:hAnsi="Gill Sans MT" w:cs="Arial"/>
          <w:noProof w:val="0"/>
        </w:rPr>
        <w:instrText xml:space="preserve"> TOC \h \z \t "Heading 1,1,Heading 2,2" </w:instrText>
      </w:r>
      <w:r w:rsidRPr="00246D75">
        <w:rPr>
          <w:rFonts w:ascii="Gill Sans MT" w:hAnsi="Gill Sans MT" w:cs="Arial"/>
          <w:noProof w:val="0"/>
        </w:rPr>
        <w:fldChar w:fldCharType="separate"/>
      </w:r>
      <w:hyperlink w:anchor="_Toc511722688" w:history="1">
        <w:r w:rsidR="00C132B1" w:rsidRPr="00D653E4">
          <w:rPr>
            <w:rStyle w:val="Hyperlink"/>
            <w:rFonts w:ascii="Gill Sans MT" w:hAnsi="Gill Sans MT" w:cs="Arial"/>
          </w:rPr>
          <w:t>1.</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Purpose</w:t>
        </w:r>
        <w:r w:rsidR="00C132B1">
          <w:rPr>
            <w:webHidden/>
          </w:rPr>
          <w:tab/>
        </w:r>
        <w:r w:rsidR="00C132B1">
          <w:rPr>
            <w:webHidden/>
          </w:rPr>
          <w:fldChar w:fldCharType="begin"/>
        </w:r>
        <w:r w:rsidR="00C132B1">
          <w:rPr>
            <w:webHidden/>
          </w:rPr>
          <w:instrText xml:space="preserve"> PAGEREF _Toc511722688 \h </w:instrText>
        </w:r>
        <w:r w:rsidR="00C132B1">
          <w:rPr>
            <w:webHidden/>
          </w:rPr>
        </w:r>
        <w:r w:rsidR="00C132B1">
          <w:rPr>
            <w:webHidden/>
          </w:rPr>
          <w:fldChar w:fldCharType="separate"/>
        </w:r>
        <w:r w:rsidR="00C132B1">
          <w:rPr>
            <w:webHidden/>
          </w:rPr>
          <w:t>5</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689" w:history="1">
        <w:r w:rsidR="00C132B1" w:rsidRPr="00D653E4">
          <w:rPr>
            <w:rStyle w:val="Hyperlink"/>
            <w:rFonts w:ascii="Gill Sans MT" w:hAnsi="Gill Sans MT" w:cs="Arial"/>
          </w:rPr>
          <w:t>2.</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Background</w:t>
        </w:r>
        <w:r w:rsidR="00C132B1">
          <w:rPr>
            <w:webHidden/>
          </w:rPr>
          <w:tab/>
        </w:r>
        <w:r w:rsidR="00C132B1">
          <w:rPr>
            <w:webHidden/>
          </w:rPr>
          <w:fldChar w:fldCharType="begin"/>
        </w:r>
        <w:r w:rsidR="00C132B1">
          <w:rPr>
            <w:webHidden/>
          </w:rPr>
          <w:instrText xml:space="preserve"> PAGEREF _Toc511722689 \h </w:instrText>
        </w:r>
        <w:r w:rsidR="00C132B1">
          <w:rPr>
            <w:webHidden/>
          </w:rPr>
        </w:r>
        <w:r w:rsidR="00C132B1">
          <w:rPr>
            <w:webHidden/>
          </w:rPr>
          <w:fldChar w:fldCharType="separate"/>
        </w:r>
        <w:r w:rsidR="00C132B1">
          <w:rPr>
            <w:webHidden/>
          </w:rPr>
          <w:t>5</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0" w:history="1">
        <w:r w:rsidR="00C132B1" w:rsidRPr="00D653E4">
          <w:rPr>
            <w:rStyle w:val="Hyperlink"/>
            <w:rFonts w:ascii="Gill Sans MT" w:hAnsi="Gill Sans MT" w:cs="Arial"/>
          </w:rPr>
          <w:t>Pre-exposure prophylaxis (PrEP)</w:t>
        </w:r>
        <w:r w:rsidR="00C132B1">
          <w:rPr>
            <w:webHidden/>
          </w:rPr>
          <w:tab/>
        </w:r>
        <w:r w:rsidR="00C132B1">
          <w:rPr>
            <w:webHidden/>
          </w:rPr>
          <w:fldChar w:fldCharType="begin"/>
        </w:r>
        <w:r w:rsidR="00C132B1">
          <w:rPr>
            <w:webHidden/>
          </w:rPr>
          <w:instrText xml:space="preserve"> PAGEREF _Toc511722690 \h </w:instrText>
        </w:r>
        <w:r w:rsidR="00C132B1">
          <w:rPr>
            <w:webHidden/>
          </w:rPr>
        </w:r>
        <w:r w:rsidR="00C132B1">
          <w:rPr>
            <w:webHidden/>
          </w:rPr>
          <w:fldChar w:fldCharType="separate"/>
        </w:r>
        <w:r w:rsidR="00C132B1">
          <w:rPr>
            <w:webHidden/>
          </w:rPr>
          <w:t>5</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1" w:history="1">
        <w:r w:rsidR="00C132B1" w:rsidRPr="00D653E4">
          <w:rPr>
            <w:rStyle w:val="Hyperlink"/>
            <w:rFonts w:ascii="Gill Sans MT" w:hAnsi="Gill Sans MT" w:cs="Arial"/>
          </w:rPr>
          <w:t>Clinical evidence on PrEP</w:t>
        </w:r>
        <w:r w:rsidR="00C132B1">
          <w:rPr>
            <w:webHidden/>
          </w:rPr>
          <w:tab/>
        </w:r>
        <w:r w:rsidR="00C132B1">
          <w:rPr>
            <w:webHidden/>
          </w:rPr>
          <w:fldChar w:fldCharType="begin"/>
        </w:r>
        <w:r w:rsidR="00C132B1">
          <w:rPr>
            <w:webHidden/>
          </w:rPr>
          <w:instrText xml:space="preserve"> PAGEREF _Toc511722691 \h </w:instrText>
        </w:r>
        <w:r w:rsidR="00C132B1">
          <w:rPr>
            <w:webHidden/>
          </w:rPr>
        </w:r>
        <w:r w:rsidR="00C132B1">
          <w:rPr>
            <w:webHidden/>
          </w:rPr>
          <w:fldChar w:fldCharType="separate"/>
        </w:r>
        <w:r w:rsidR="00C132B1">
          <w:rPr>
            <w:webHidden/>
          </w:rPr>
          <w:t>5</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2" w:history="1">
        <w:r w:rsidR="00C132B1" w:rsidRPr="00D653E4">
          <w:rPr>
            <w:rStyle w:val="Hyperlink"/>
            <w:rFonts w:ascii="Gill Sans MT" w:hAnsi="Gill Sans MT" w:cs="Arial"/>
          </w:rPr>
          <w:t>PrEP in Australia</w:t>
        </w:r>
        <w:r w:rsidR="00C132B1">
          <w:rPr>
            <w:webHidden/>
          </w:rPr>
          <w:tab/>
        </w:r>
        <w:r w:rsidR="00C132B1">
          <w:rPr>
            <w:webHidden/>
          </w:rPr>
          <w:fldChar w:fldCharType="begin"/>
        </w:r>
        <w:r w:rsidR="00C132B1">
          <w:rPr>
            <w:webHidden/>
          </w:rPr>
          <w:instrText xml:space="preserve"> PAGEREF _Toc511722692 \h </w:instrText>
        </w:r>
        <w:r w:rsidR="00C132B1">
          <w:rPr>
            <w:webHidden/>
          </w:rPr>
        </w:r>
        <w:r w:rsidR="00C132B1">
          <w:rPr>
            <w:webHidden/>
          </w:rPr>
          <w:fldChar w:fldCharType="separate"/>
        </w:r>
        <w:r w:rsidR="00C132B1">
          <w:rPr>
            <w:webHidden/>
          </w:rPr>
          <w:t>6</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3" w:history="1">
        <w:r w:rsidR="00C132B1" w:rsidRPr="00D653E4">
          <w:rPr>
            <w:rStyle w:val="Hyperlink"/>
            <w:rFonts w:ascii="Gill Sans MT" w:hAnsi="Gill Sans MT" w:cs="Arial"/>
          </w:rPr>
          <w:t>Undetectable viral load (UVL) and treatment as prevention (TasP)</w:t>
        </w:r>
        <w:r w:rsidR="00C132B1">
          <w:rPr>
            <w:webHidden/>
          </w:rPr>
          <w:tab/>
        </w:r>
        <w:r w:rsidR="00C132B1">
          <w:rPr>
            <w:webHidden/>
          </w:rPr>
          <w:fldChar w:fldCharType="begin"/>
        </w:r>
        <w:r w:rsidR="00C132B1">
          <w:rPr>
            <w:webHidden/>
          </w:rPr>
          <w:instrText xml:space="preserve"> PAGEREF _Toc511722693 \h </w:instrText>
        </w:r>
        <w:r w:rsidR="00C132B1">
          <w:rPr>
            <w:webHidden/>
          </w:rPr>
        </w:r>
        <w:r w:rsidR="00C132B1">
          <w:rPr>
            <w:webHidden/>
          </w:rPr>
          <w:fldChar w:fldCharType="separate"/>
        </w:r>
        <w:r w:rsidR="00C132B1">
          <w:rPr>
            <w:webHidden/>
          </w:rPr>
          <w:t>6</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4" w:history="1">
        <w:r w:rsidR="00C132B1" w:rsidRPr="00D653E4">
          <w:rPr>
            <w:rStyle w:val="Hyperlink"/>
            <w:rFonts w:ascii="Gill Sans MT" w:hAnsi="Gill Sans MT" w:cs="Arial"/>
          </w:rPr>
          <w:t>Post-exposure prophylaxis (PEP)</w:t>
        </w:r>
        <w:r w:rsidR="00C132B1">
          <w:rPr>
            <w:webHidden/>
          </w:rPr>
          <w:tab/>
        </w:r>
        <w:r w:rsidR="00C132B1">
          <w:rPr>
            <w:webHidden/>
          </w:rPr>
          <w:fldChar w:fldCharType="begin"/>
        </w:r>
        <w:r w:rsidR="00C132B1">
          <w:rPr>
            <w:webHidden/>
          </w:rPr>
          <w:instrText xml:space="preserve"> PAGEREF _Toc511722694 \h </w:instrText>
        </w:r>
        <w:r w:rsidR="00C132B1">
          <w:rPr>
            <w:webHidden/>
          </w:rPr>
        </w:r>
        <w:r w:rsidR="00C132B1">
          <w:rPr>
            <w:webHidden/>
          </w:rPr>
          <w:fldChar w:fldCharType="separate"/>
        </w:r>
        <w:r w:rsidR="00C132B1">
          <w:rPr>
            <w:webHidden/>
          </w:rPr>
          <w:t>6</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695" w:history="1">
        <w:r w:rsidR="00C132B1" w:rsidRPr="00D653E4">
          <w:rPr>
            <w:rStyle w:val="Hyperlink"/>
            <w:rFonts w:ascii="Gill Sans MT" w:hAnsi="Gill Sans MT" w:cs="Arial"/>
          </w:rPr>
          <w:t>3.</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Accessing PrEP in Tasmania</w:t>
        </w:r>
        <w:r w:rsidR="00C132B1">
          <w:rPr>
            <w:webHidden/>
          </w:rPr>
          <w:tab/>
        </w:r>
        <w:r w:rsidR="00C132B1">
          <w:rPr>
            <w:webHidden/>
          </w:rPr>
          <w:fldChar w:fldCharType="begin"/>
        </w:r>
        <w:r w:rsidR="00C132B1">
          <w:rPr>
            <w:webHidden/>
          </w:rPr>
          <w:instrText xml:space="preserve"> PAGEREF _Toc511722695 \h </w:instrText>
        </w:r>
        <w:r w:rsidR="00C132B1">
          <w:rPr>
            <w:webHidden/>
          </w:rPr>
        </w:r>
        <w:r w:rsidR="00C132B1">
          <w:rPr>
            <w:webHidden/>
          </w:rPr>
          <w:fldChar w:fldCharType="separate"/>
        </w:r>
        <w:r w:rsidR="00C132B1">
          <w:rPr>
            <w:webHidden/>
          </w:rPr>
          <w:t>7</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6" w:history="1">
        <w:r w:rsidR="00C132B1" w:rsidRPr="00D653E4">
          <w:rPr>
            <w:rStyle w:val="Hyperlink"/>
            <w:rFonts w:ascii="Gill Sans MT" w:hAnsi="Gill Sans MT"/>
          </w:rPr>
          <w:t>Access for people ineligible for Medicare</w:t>
        </w:r>
        <w:r w:rsidR="00C132B1">
          <w:rPr>
            <w:webHidden/>
          </w:rPr>
          <w:tab/>
        </w:r>
        <w:r w:rsidR="00C132B1">
          <w:rPr>
            <w:webHidden/>
          </w:rPr>
          <w:fldChar w:fldCharType="begin"/>
        </w:r>
        <w:r w:rsidR="00C132B1">
          <w:rPr>
            <w:webHidden/>
          </w:rPr>
          <w:instrText xml:space="preserve"> PAGEREF _Toc511722696 \h </w:instrText>
        </w:r>
        <w:r w:rsidR="00C132B1">
          <w:rPr>
            <w:webHidden/>
          </w:rPr>
        </w:r>
        <w:r w:rsidR="00C132B1">
          <w:rPr>
            <w:webHidden/>
          </w:rPr>
          <w:fldChar w:fldCharType="separate"/>
        </w:r>
        <w:r w:rsidR="00C132B1">
          <w:rPr>
            <w:webHidden/>
          </w:rPr>
          <w:t>7</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697" w:history="1">
        <w:r w:rsidR="00C132B1" w:rsidRPr="00D653E4">
          <w:rPr>
            <w:rStyle w:val="Hyperlink"/>
            <w:rFonts w:ascii="Gill Sans MT" w:hAnsi="Gill Sans MT" w:cs="Arial"/>
          </w:rPr>
          <w:t>4.</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Prescribing PrEP</w:t>
        </w:r>
        <w:r w:rsidR="00C132B1">
          <w:rPr>
            <w:webHidden/>
          </w:rPr>
          <w:tab/>
        </w:r>
        <w:r w:rsidR="00C132B1">
          <w:rPr>
            <w:webHidden/>
          </w:rPr>
          <w:fldChar w:fldCharType="begin"/>
        </w:r>
        <w:r w:rsidR="00C132B1">
          <w:rPr>
            <w:webHidden/>
          </w:rPr>
          <w:instrText xml:space="preserve"> PAGEREF _Toc511722697 \h </w:instrText>
        </w:r>
        <w:r w:rsidR="00C132B1">
          <w:rPr>
            <w:webHidden/>
          </w:rPr>
        </w:r>
        <w:r w:rsidR="00C132B1">
          <w:rPr>
            <w:webHidden/>
          </w:rPr>
          <w:fldChar w:fldCharType="separate"/>
        </w:r>
        <w:r w:rsidR="00C132B1">
          <w:rPr>
            <w:webHidden/>
          </w:rPr>
          <w:t>7</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698" w:history="1">
        <w:r w:rsidR="00C132B1" w:rsidRPr="00D653E4">
          <w:rPr>
            <w:rStyle w:val="Hyperlink"/>
            <w:rFonts w:ascii="Gill Sans MT" w:hAnsi="Gill Sans MT"/>
          </w:rPr>
          <w:t>Event-based PrEP dosing</w:t>
        </w:r>
        <w:r w:rsidR="00C132B1">
          <w:rPr>
            <w:webHidden/>
          </w:rPr>
          <w:tab/>
        </w:r>
        <w:r w:rsidR="00C132B1">
          <w:rPr>
            <w:webHidden/>
          </w:rPr>
          <w:fldChar w:fldCharType="begin"/>
        </w:r>
        <w:r w:rsidR="00C132B1">
          <w:rPr>
            <w:webHidden/>
          </w:rPr>
          <w:instrText xml:space="preserve"> PAGEREF _Toc511722698 \h </w:instrText>
        </w:r>
        <w:r w:rsidR="00C132B1">
          <w:rPr>
            <w:webHidden/>
          </w:rPr>
        </w:r>
        <w:r w:rsidR="00C132B1">
          <w:rPr>
            <w:webHidden/>
          </w:rPr>
          <w:fldChar w:fldCharType="separate"/>
        </w:r>
        <w:r w:rsidR="00C132B1">
          <w:rPr>
            <w:webHidden/>
          </w:rPr>
          <w:t>8</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699" w:history="1">
        <w:r w:rsidR="00C132B1" w:rsidRPr="00D653E4">
          <w:rPr>
            <w:rStyle w:val="Hyperlink"/>
            <w:rFonts w:ascii="Gill Sans MT" w:hAnsi="Gill Sans MT" w:cs="Arial"/>
          </w:rPr>
          <w:t>5.</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Monitoring sexual health</w:t>
        </w:r>
        <w:r w:rsidR="00C132B1">
          <w:rPr>
            <w:webHidden/>
          </w:rPr>
          <w:tab/>
        </w:r>
        <w:r w:rsidR="00C132B1">
          <w:rPr>
            <w:webHidden/>
          </w:rPr>
          <w:fldChar w:fldCharType="begin"/>
        </w:r>
        <w:r w:rsidR="00C132B1">
          <w:rPr>
            <w:webHidden/>
          </w:rPr>
          <w:instrText xml:space="preserve"> PAGEREF _Toc511722699 \h </w:instrText>
        </w:r>
        <w:r w:rsidR="00C132B1">
          <w:rPr>
            <w:webHidden/>
          </w:rPr>
        </w:r>
        <w:r w:rsidR="00C132B1">
          <w:rPr>
            <w:webHidden/>
          </w:rPr>
          <w:fldChar w:fldCharType="separate"/>
        </w:r>
        <w:r w:rsidR="00C132B1">
          <w:rPr>
            <w:webHidden/>
          </w:rPr>
          <w:t>8</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700" w:history="1">
        <w:r w:rsidR="00C132B1" w:rsidRPr="00D653E4">
          <w:rPr>
            <w:rStyle w:val="Hyperlink"/>
            <w:rFonts w:ascii="Gill Sans MT" w:hAnsi="Gill Sans MT" w:cs="Arial"/>
          </w:rPr>
          <w:t>6.</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Guiding principles for prescribing PrEP</w:t>
        </w:r>
        <w:r w:rsidR="00C132B1">
          <w:rPr>
            <w:webHidden/>
          </w:rPr>
          <w:tab/>
        </w:r>
        <w:r w:rsidR="00C132B1">
          <w:rPr>
            <w:webHidden/>
          </w:rPr>
          <w:fldChar w:fldCharType="begin"/>
        </w:r>
        <w:r w:rsidR="00C132B1">
          <w:rPr>
            <w:webHidden/>
          </w:rPr>
          <w:instrText xml:space="preserve"> PAGEREF _Toc511722700 \h </w:instrText>
        </w:r>
        <w:r w:rsidR="00C132B1">
          <w:rPr>
            <w:webHidden/>
          </w:rPr>
        </w:r>
        <w:r w:rsidR="00C132B1">
          <w:rPr>
            <w:webHidden/>
          </w:rPr>
          <w:fldChar w:fldCharType="separate"/>
        </w:r>
        <w:r w:rsidR="00C132B1">
          <w:rPr>
            <w:webHidden/>
          </w:rPr>
          <w:t>8</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701" w:history="1">
        <w:r w:rsidR="00C132B1" w:rsidRPr="00D653E4">
          <w:rPr>
            <w:rStyle w:val="Hyperlink"/>
            <w:rFonts w:ascii="Gill Sans MT" w:hAnsi="Gill Sans MT" w:cs="Arial"/>
          </w:rPr>
          <w:t>7.</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Recommended appointment schedule</w:t>
        </w:r>
        <w:r w:rsidR="00C132B1">
          <w:rPr>
            <w:webHidden/>
          </w:rPr>
          <w:tab/>
        </w:r>
        <w:r w:rsidR="00C132B1">
          <w:rPr>
            <w:webHidden/>
          </w:rPr>
          <w:fldChar w:fldCharType="begin"/>
        </w:r>
        <w:r w:rsidR="00C132B1">
          <w:rPr>
            <w:webHidden/>
          </w:rPr>
          <w:instrText xml:space="preserve"> PAGEREF _Toc511722701 \h </w:instrText>
        </w:r>
        <w:r w:rsidR="00C132B1">
          <w:rPr>
            <w:webHidden/>
          </w:rPr>
        </w:r>
        <w:r w:rsidR="00C132B1">
          <w:rPr>
            <w:webHidden/>
          </w:rPr>
          <w:fldChar w:fldCharType="separate"/>
        </w:r>
        <w:r w:rsidR="00C132B1">
          <w:rPr>
            <w:webHidden/>
          </w:rPr>
          <w:t>9</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702" w:history="1">
        <w:r w:rsidR="00C132B1" w:rsidRPr="00D653E4">
          <w:rPr>
            <w:rStyle w:val="Hyperlink"/>
            <w:rFonts w:ascii="Gill Sans MT" w:hAnsi="Gill Sans MT" w:cs="Arial"/>
            <w:lang w:eastAsia="en-AU"/>
          </w:rPr>
          <w:t>8.</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Prescribing information</w:t>
        </w:r>
        <w:r w:rsidR="00C132B1">
          <w:rPr>
            <w:webHidden/>
          </w:rPr>
          <w:tab/>
        </w:r>
        <w:r w:rsidR="00C132B1">
          <w:rPr>
            <w:webHidden/>
          </w:rPr>
          <w:fldChar w:fldCharType="begin"/>
        </w:r>
        <w:r w:rsidR="00C132B1">
          <w:rPr>
            <w:webHidden/>
          </w:rPr>
          <w:instrText xml:space="preserve"> PAGEREF _Toc511722702 \h </w:instrText>
        </w:r>
        <w:r w:rsidR="00C132B1">
          <w:rPr>
            <w:webHidden/>
          </w:rPr>
        </w:r>
        <w:r w:rsidR="00C132B1">
          <w:rPr>
            <w:webHidden/>
          </w:rPr>
          <w:fldChar w:fldCharType="separate"/>
        </w:r>
        <w:r w:rsidR="00C132B1">
          <w:rPr>
            <w:webHidden/>
          </w:rPr>
          <w:t>11</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03" w:history="1">
        <w:r w:rsidR="00C132B1" w:rsidRPr="00D653E4">
          <w:rPr>
            <w:rStyle w:val="Hyperlink"/>
            <w:rFonts w:ascii="Gill Sans MT" w:hAnsi="Gill Sans MT"/>
          </w:rPr>
          <w:t>Training and professional development for workforce</w:t>
        </w:r>
        <w:r w:rsidR="00C132B1">
          <w:rPr>
            <w:webHidden/>
          </w:rPr>
          <w:tab/>
        </w:r>
        <w:r w:rsidR="00C132B1">
          <w:rPr>
            <w:webHidden/>
          </w:rPr>
          <w:fldChar w:fldCharType="begin"/>
        </w:r>
        <w:r w:rsidR="00C132B1">
          <w:rPr>
            <w:webHidden/>
          </w:rPr>
          <w:instrText xml:space="preserve"> PAGEREF _Toc511722703 \h </w:instrText>
        </w:r>
        <w:r w:rsidR="00C132B1">
          <w:rPr>
            <w:webHidden/>
          </w:rPr>
        </w:r>
        <w:r w:rsidR="00C132B1">
          <w:rPr>
            <w:webHidden/>
          </w:rPr>
          <w:fldChar w:fldCharType="separate"/>
        </w:r>
        <w:r w:rsidR="00C132B1">
          <w:rPr>
            <w:webHidden/>
          </w:rPr>
          <w:t>11</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704" w:history="1">
        <w:r w:rsidR="00C132B1" w:rsidRPr="00D653E4">
          <w:rPr>
            <w:rStyle w:val="Hyperlink"/>
            <w:rFonts w:ascii="Gill Sans MT" w:hAnsi="Gill Sans MT" w:cs="Arial"/>
          </w:rPr>
          <w:t>9.</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Supporting documentation for the prescriber and patient</w:t>
        </w:r>
        <w:r w:rsidR="00C132B1">
          <w:rPr>
            <w:webHidden/>
          </w:rPr>
          <w:tab/>
        </w:r>
        <w:r w:rsidR="00C132B1">
          <w:rPr>
            <w:webHidden/>
          </w:rPr>
          <w:fldChar w:fldCharType="begin"/>
        </w:r>
        <w:r w:rsidR="00C132B1">
          <w:rPr>
            <w:webHidden/>
          </w:rPr>
          <w:instrText xml:space="preserve"> PAGEREF _Toc511722704 \h </w:instrText>
        </w:r>
        <w:r w:rsidR="00C132B1">
          <w:rPr>
            <w:webHidden/>
          </w:rPr>
        </w:r>
        <w:r w:rsidR="00C132B1">
          <w:rPr>
            <w:webHidden/>
          </w:rPr>
          <w:fldChar w:fldCharType="separate"/>
        </w:r>
        <w:r w:rsidR="00C132B1">
          <w:rPr>
            <w:webHidden/>
          </w:rPr>
          <w:t>11</w:t>
        </w:r>
        <w:r w:rsidR="00C132B1">
          <w:rPr>
            <w:webHidden/>
          </w:rPr>
          <w:fldChar w:fldCharType="end"/>
        </w:r>
      </w:hyperlink>
    </w:p>
    <w:p w:rsidR="00C132B1" w:rsidRDefault="00635B39">
      <w:pPr>
        <w:pStyle w:val="TOC1"/>
        <w:tabs>
          <w:tab w:val="left" w:pos="567"/>
        </w:tabs>
        <w:rPr>
          <w:rFonts w:asciiTheme="minorHAnsi" w:eastAsiaTheme="minorEastAsia" w:hAnsiTheme="minorHAnsi" w:cstheme="minorBidi"/>
          <w:b w:val="0"/>
          <w:sz w:val="22"/>
          <w:szCs w:val="22"/>
          <w:lang w:eastAsia="en-AU"/>
        </w:rPr>
      </w:pPr>
      <w:hyperlink w:anchor="_Toc511722705" w:history="1">
        <w:r w:rsidR="00C132B1" w:rsidRPr="00D653E4">
          <w:rPr>
            <w:rStyle w:val="Hyperlink"/>
            <w:rFonts w:ascii="Gill Sans MT" w:hAnsi="Gill Sans MT" w:cs="Arial"/>
          </w:rPr>
          <w:t>10.</w:t>
        </w:r>
        <w:r w:rsidR="00C132B1">
          <w:rPr>
            <w:rFonts w:asciiTheme="minorHAnsi" w:eastAsiaTheme="minorEastAsia" w:hAnsiTheme="minorHAnsi" w:cstheme="minorBidi"/>
            <w:b w:val="0"/>
            <w:sz w:val="22"/>
            <w:szCs w:val="22"/>
            <w:lang w:eastAsia="en-AU"/>
          </w:rPr>
          <w:tab/>
        </w:r>
        <w:r w:rsidR="00C132B1" w:rsidRPr="00D653E4">
          <w:rPr>
            <w:rStyle w:val="Hyperlink"/>
            <w:rFonts w:ascii="Gill Sans MT" w:hAnsi="Gill Sans MT" w:cs="Arial"/>
          </w:rPr>
          <w:t>If a patient tests positive for HIV while on PrEP</w:t>
        </w:r>
        <w:r w:rsidR="00C132B1">
          <w:rPr>
            <w:webHidden/>
          </w:rPr>
          <w:tab/>
        </w:r>
        <w:r w:rsidR="00C132B1">
          <w:rPr>
            <w:webHidden/>
          </w:rPr>
          <w:fldChar w:fldCharType="begin"/>
        </w:r>
        <w:r w:rsidR="00C132B1">
          <w:rPr>
            <w:webHidden/>
          </w:rPr>
          <w:instrText xml:space="preserve"> PAGEREF _Toc511722705 \h </w:instrText>
        </w:r>
        <w:r w:rsidR="00C132B1">
          <w:rPr>
            <w:webHidden/>
          </w:rPr>
        </w:r>
        <w:r w:rsidR="00C132B1">
          <w:rPr>
            <w:webHidden/>
          </w:rPr>
          <w:fldChar w:fldCharType="separate"/>
        </w:r>
        <w:r w:rsidR="00C132B1">
          <w:rPr>
            <w:webHidden/>
          </w:rPr>
          <w:t>12</w:t>
        </w:r>
        <w:r w:rsidR="00C132B1">
          <w:rPr>
            <w:webHidden/>
          </w:rPr>
          <w:fldChar w:fldCharType="end"/>
        </w:r>
      </w:hyperlink>
    </w:p>
    <w:p w:rsidR="00C132B1" w:rsidRDefault="00635B39">
      <w:pPr>
        <w:pStyle w:val="TOC1"/>
        <w:rPr>
          <w:rFonts w:asciiTheme="minorHAnsi" w:eastAsiaTheme="minorEastAsia" w:hAnsiTheme="minorHAnsi" w:cstheme="minorBidi"/>
          <w:b w:val="0"/>
          <w:sz w:val="22"/>
          <w:szCs w:val="22"/>
          <w:lang w:eastAsia="en-AU"/>
        </w:rPr>
      </w:pPr>
      <w:hyperlink w:anchor="_Toc511722706" w:history="1">
        <w:r w:rsidR="00C132B1" w:rsidRPr="00D653E4">
          <w:rPr>
            <w:rStyle w:val="Hyperlink"/>
            <w:rFonts w:ascii="Gill Sans MT" w:hAnsi="Gill Sans MT"/>
          </w:rPr>
          <w:t>11. Additional resources</w:t>
        </w:r>
        <w:r w:rsidR="00C132B1">
          <w:rPr>
            <w:webHidden/>
          </w:rPr>
          <w:tab/>
        </w:r>
        <w:r w:rsidR="00C132B1">
          <w:rPr>
            <w:webHidden/>
          </w:rPr>
          <w:fldChar w:fldCharType="begin"/>
        </w:r>
        <w:r w:rsidR="00C132B1">
          <w:rPr>
            <w:webHidden/>
          </w:rPr>
          <w:instrText xml:space="preserve"> PAGEREF _Toc511722706 \h </w:instrText>
        </w:r>
        <w:r w:rsidR="00C132B1">
          <w:rPr>
            <w:webHidden/>
          </w:rPr>
        </w:r>
        <w:r w:rsidR="00C132B1">
          <w:rPr>
            <w:webHidden/>
          </w:rPr>
          <w:fldChar w:fldCharType="separate"/>
        </w:r>
        <w:r w:rsidR="00C132B1">
          <w:rPr>
            <w:webHidden/>
          </w:rPr>
          <w:t>12</w:t>
        </w:r>
        <w:r w:rsidR="00C132B1">
          <w:rPr>
            <w:webHidden/>
          </w:rPr>
          <w:fldChar w:fldCharType="end"/>
        </w:r>
      </w:hyperlink>
    </w:p>
    <w:p w:rsidR="00C132B1" w:rsidRDefault="00635B39">
      <w:pPr>
        <w:pStyle w:val="TOC1"/>
        <w:rPr>
          <w:rFonts w:asciiTheme="minorHAnsi" w:eastAsiaTheme="minorEastAsia" w:hAnsiTheme="minorHAnsi" w:cstheme="minorBidi"/>
          <w:b w:val="0"/>
          <w:sz w:val="22"/>
          <w:szCs w:val="22"/>
          <w:lang w:eastAsia="en-AU"/>
        </w:rPr>
      </w:pPr>
      <w:hyperlink w:anchor="_Toc511722707" w:history="1">
        <w:r w:rsidR="00C132B1" w:rsidRPr="00D653E4">
          <w:rPr>
            <w:rStyle w:val="Hyperlink"/>
            <w:rFonts w:ascii="Gill Sans MT" w:hAnsi="Gill Sans MT"/>
          </w:rPr>
          <w:t>Appendix 1: Guidance on prescribing PrEP</w:t>
        </w:r>
        <w:r w:rsidR="00C132B1">
          <w:rPr>
            <w:webHidden/>
          </w:rPr>
          <w:tab/>
        </w:r>
        <w:r w:rsidR="00C132B1">
          <w:rPr>
            <w:webHidden/>
          </w:rPr>
          <w:fldChar w:fldCharType="begin"/>
        </w:r>
        <w:r w:rsidR="00C132B1">
          <w:rPr>
            <w:webHidden/>
          </w:rPr>
          <w:instrText xml:space="preserve"> PAGEREF _Toc511722707 \h </w:instrText>
        </w:r>
        <w:r w:rsidR="00C132B1">
          <w:rPr>
            <w:webHidden/>
          </w:rPr>
        </w:r>
        <w:r w:rsidR="00C132B1">
          <w:rPr>
            <w:webHidden/>
          </w:rPr>
          <w:fldChar w:fldCharType="separate"/>
        </w:r>
        <w:r w:rsidR="00C132B1">
          <w:rPr>
            <w:webHidden/>
          </w:rPr>
          <w:t>13</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08" w:history="1">
        <w:r w:rsidR="00C132B1" w:rsidRPr="00D653E4">
          <w:rPr>
            <w:rStyle w:val="Hyperlink"/>
            <w:rFonts w:ascii="Gill Sans MT" w:hAnsi="Gill Sans MT" w:cs="Arial"/>
            <w:lang w:eastAsia="en-AU"/>
          </w:rPr>
          <w:t>Behavioural eligibility criteria for PrEP for MSM</w:t>
        </w:r>
        <w:r w:rsidR="00C132B1">
          <w:rPr>
            <w:webHidden/>
          </w:rPr>
          <w:tab/>
        </w:r>
        <w:r w:rsidR="00C132B1">
          <w:rPr>
            <w:webHidden/>
          </w:rPr>
          <w:fldChar w:fldCharType="begin"/>
        </w:r>
        <w:r w:rsidR="00C132B1">
          <w:rPr>
            <w:webHidden/>
          </w:rPr>
          <w:instrText xml:space="preserve"> PAGEREF _Toc511722708 \h </w:instrText>
        </w:r>
        <w:r w:rsidR="00C132B1">
          <w:rPr>
            <w:webHidden/>
          </w:rPr>
        </w:r>
        <w:r w:rsidR="00C132B1">
          <w:rPr>
            <w:webHidden/>
          </w:rPr>
          <w:fldChar w:fldCharType="separate"/>
        </w:r>
        <w:r w:rsidR="00C132B1">
          <w:rPr>
            <w:webHidden/>
          </w:rPr>
          <w:t>13</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09" w:history="1">
        <w:r w:rsidR="00C132B1" w:rsidRPr="00D653E4">
          <w:rPr>
            <w:rStyle w:val="Hyperlink"/>
            <w:rFonts w:ascii="Gill Sans MT" w:hAnsi="Gill Sans MT" w:cs="Arial"/>
            <w:lang w:eastAsia="en-AU"/>
          </w:rPr>
          <w:t xml:space="preserve">Behavioural </w:t>
        </w:r>
        <w:r w:rsidR="00C132B1" w:rsidRPr="00D653E4">
          <w:rPr>
            <w:rStyle w:val="Hyperlink"/>
            <w:rFonts w:ascii="Gill Sans MT" w:hAnsi="Gill Sans MT" w:cs="Arial"/>
          </w:rPr>
          <w:t>eligibility</w:t>
        </w:r>
        <w:r w:rsidR="00C132B1" w:rsidRPr="00D653E4">
          <w:rPr>
            <w:rStyle w:val="Hyperlink"/>
            <w:rFonts w:ascii="Gill Sans MT" w:hAnsi="Gill Sans MT" w:cs="Arial"/>
            <w:lang w:eastAsia="en-AU"/>
          </w:rPr>
          <w:t xml:space="preserve"> criteria for PrEP for heterosexual people</w:t>
        </w:r>
        <w:r w:rsidR="00C132B1">
          <w:rPr>
            <w:webHidden/>
          </w:rPr>
          <w:tab/>
        </w:r>
        <w:r w:rsidR="00C132B1">
          <w:rPr>
            <w:webHidden/>
          </w:rPr>
          <w:fldChar w:fldCharType="begin"/>
        </w:r>
        <w:r w:rsidR="00C132B1">
          <w:rPr>
            <w:webHidden/>
          </w:rPr>
          <w:instrText xml:space="preserve"> PAGEREF _Toc511722709 \h </w:instrText>
        </w:r>
        <w:r w:rsidR="00C132B1">
          <w:rPr>
            <w:webHidden/>
          </w:rPr>
        </w:r>
        <w:r w:rsidR="00C132B1">
          <w:rPr>
            <w:webHidden/>
          </w:rPr>
          <w:fldChar w:fldCharType="separate"/>
        </w:r>
        <w:r w:rsidR="00C132B1">
          <w:rPr>
            <w:webHidden/>
          </w:rPr>
          <w:t>14</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0" w:history="1">
        <w:r w:rsidR="00C132B1" w:rsidRPr="00D653E4">
          <w:rPr>
            <w:rStyle w:val="Hyperlink"/>
            <w:rFonts w:ascii="Gill Sans MT" w:hAnsi="Gill Sans MT" w:cs="Arial"/>
            <w:lang w:eastAsia="en-AU"/>
          </w:rPr>
          <w:t>Behavioural eligibility criteria for PrEP for people who inject drugs</w:t>
        </w:r>
        <w:r w:rsidR="00C132B1">
          <w:rPr>
            <w:webHidden/>
          </w:rPr>
          <w:tab/>
        </w:r>
        <w:r w:rsidR="00C132B1">
          <w:rPr>
            <w:webHidden/>
          </w:rPr>
          <w:fldChar w:fldCharType="begin"/>
        </w:r>
        <w:r w:rsidR="00C132B1">
          <w:rPr>
            <w:webHidden/>
          </w:rPr>
          <w:instrText xml:space="preserve"> PAGEREF _Toc511722710 \h </w:instrText>
        </w:r>
        <w:r w:rsidR="00C132B1">
          <w:rPr>
            <w:webHidden/>
          </w:rPr>
        </w:r>
        <w:r w:rsidR="00C132B1">
          <w:rPr>
            <w:webHidden/>
          </w:rPr>
          <w:fldChar w:fldCharType="separate"/>
        </w:r>
        <w:r w:rsidR="00C132B1">
          <w:rPr>
            <w:webHidden/>
          </w:rPr>
          <w:t>15</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1" w:history="1">
        <w:r w:rsidR="00C132B1" w:rsidRPr="00D653E4">
          <w:rPr>
            <w:rStyle w:val="Hyperlink"/>
            <w:rFonts w:ascii="Gill Sans MT" w:hAnsi="Gill Sans MT" w:cs="Arial"/>
            <w:lang w:eastAsia="en-AU"/>
          </w:rPr>
          <w:t xml:space="preserve">Behavioural </w:t>
        </w:r>
        <w:r w:rsidR="00C132B1" w:rsidRPr="00D653E4">
          <w:rPr>
            <w:rStyle w:val="Hyperlink"/>
            <w:rFonts w:ascii="Gill Sans MT" w:hAnsi="Gill Sans MT" w:cs="Arial"/>
          </w:rPr>
          <w:t>eligibility</w:t>
        </w:r>
        <w:r w:rsidR="00C132B1" w:rsidRPr="00D653E4">
          <w:rPr>
            <w:rStyle w:val="Hyperlink"/>
            <w:rFonts w:ascii="Gill Sans MT" w:hAnsi="Gill Sans MT" w:cs="Arial"/>
            <w:lang w:eastAsia="en-AU"/>
          </w:rPr>
          <w:t xml:space="preserve"> criteria for PrEP for trans and gender diverse people</w:t>
        </w:r>
        <w:r w:rsidR="00C132B1">
          <w:rPr>
            <w:webHidden/>
          </w:rPr>
          <w:tab/>
        </w:r>
        <w:r w:rsidR="00C132B1">
          <w:rPr>
            <w:webHidden/>
          </w:rPr>
          <w:fldChar w:fldCharType="begin"/>
        </w:r>
        <w:r w:rsidR="00C132B1">
          <w:rPr>
            <w:webHidden/>
          </w:rPr>
          <w:instrText xml:space="preserve"> PAGEREF _Toc511722711 \h </w:instrText>
        </w:r>
        <w:r w:rsidR="00C132B1">
          <w:rPr>
            <w:webHidden/>
          </w:rPr>
        </w:r>
        <w:r w:rsidR="00C132B1">
          <w:rPr>
            <w:webHidden/>
          </w:rPr>
          <w:fldChar w:fldCharType="separate"/>
        </w:r>
        <w:r w:rsidR="00C132B1">
          <w:rPr>
            <w:webHidden/>
          </w:rPr>
          <w:t>15</w:t>
        </w:r>
        <w:r w:rsidR="00C132B1">
          <w:rPr>
            <w:webHidden/>
          </w:rPr>
          <w:fldChar w:fldCharType="end"/>
        </w:r>
      </w:hyperlink>
    </w:p>
    <w:p w:rsidR="00C132B1" w:rsidRDefault="00635B39">
      <w:pPr>
        <w:pStyle w:val="TOC1"/>
        <w:rPr>
          <w:rFonts w:asciiTheme="minorHAnsi" w:eastAsiaTheme="minorEastAsia" w:hAnsiTheme="minorHAnsi" w:cstheme="minorBidi"/>
          <w:b w:val="0"/>
          <w:sz w:val="22"/>
          <w:szCs w:val="22"/>
          <w:lang w:eastAsia="en-AU"/>
        </w:rPr>
      </w:pPr>
      <w:hyperlink w:anchor="_Toc511722712" w:history="1">
        <w:r w:rsidR="00C132B1" w:rsidRPr="00D653E4">
          <w:rPr>
            <w:rStyle w:val="Hyperlink"/>
            <w:rFonts w:ascii="Gill Sans MT" w:hAnsi="Gill Sans MT" w:cs="Arial"/>
          </w:rPr>
          <w:t xml:space="preserve">Appendix 2:  </w:t>
        </w:r>
        <w:r w:rsidR="00C132B1" w:rsidRPr="00D653E4">
          <w:rPr>
            <w:rStyle w:val="Hyperlink"/>
            <w:rFonts w:ascii="Gill Sans MT" w:eastAsia="Calibri" w:hAnsi="Gill Sans MT" w:cs="Arial"/>
          </w:rPr>
          <w:t>Suggested checklist for initiating pre-exposure prophylaxis (PrEP)</w:t>
        </w:r>
        <w:r w:rsidR="00C132B1">
          <w:rPr>
            <w:webHidden/>
          </w:rPr>
          <w:tab/>
        </w:r>
        <w:r w:rsidR="00C132B1">
          <w:rPr>
            <w:webHidden/>
          </w:rPr>
          <w:fldChar w:fldCharType="begin"/>
        </w:r>
        <w:r w:rsidR="00C132B1">
          <w:rPr>
            <w:webHidden/>
          </w:rPr>
          <w:instrText xml:space="preserve"> PAGEREF _Toc511722712 \h </w:instrText>
        </w:r>
        <w:r w:rsidR="00C132B1">
          <w:rPr>
            <w:webHidden/>
          </w:rPr>
        </w:r>
        <w:r w:rsidR="00C132B1">
          <w:rPr>
            <w:webHidden/>
          </w:rPr>
          <w:fldChar w:fldCharType="separate"/>
        </w:r>
        <w:r w:rsidR="00C132B1">
          <w:rPr>
            <w:webHidden/>
          </w:rPr>
          <w:t>17</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3" w:history="1">
        <w:r w:rsidR="00C132B1" w:rsidRPr="00D653E4">
          <w:rPr>
            <w:rStyle w:val="Hyperlink"/>
            <w:rFonts w:ascii="Gill Sans MT" w:eastAsia="Calibri" w:hAnsi="Gill Sans MT" w:cs="Arial"/>
          </w:rPr>
          <w:t>Doctor section</w:t>
        </w:r>
        <w:r w:rsidR="00C132B1">
          <w:rPr>
            <w:webHidden/>
          </w:rPr>
          <w:tab/>
        </w:r>
        <w:r w:rsidR="00C132B1">
          <w:rPr>
            <w:webHidden/>
          </w:rPr>
          <w:fldChar w:fldCharType="begin"/>
        </w:r>
        <w:r w:rsidR="00C132B1">
          <w:rPr>
            <w:webHidden/>
          </w:rPr>
          <w:instrText xml:space="preserve"> PAGEREF _Toc511722713 \h </w:instrText>
        </w:r>
        <w:r w:rsidR="00C132B1">
          <w:rPr>
            <w:webHidden/>
          </w:rPr>
        </w:r>
        <w:r w:rsidR="00C132B1">
          <w:rPr>
            <w:webHidden/>
          </w:rPr>
          <w:fldChar w:fldCharType="separate"/>
        </w:r>
        <w:r w:rsidR="00C132B1">
          <w:rPr>
            <w:webHidden/>
          </w:rPr>
          <w:t>17</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4" w:history="1">
        <w:r w:rsidR="00C132B1" w:rsidRPr="00D653E4">
          <w:rPr>
            <w:rStyle w:val="Hyperlink"/>
            <w:rFonts w:ascii="Gill Sans MT" w:eastAsia="Calibri" w:hAnsi="Gill Sans MT" w:cs="Arial"/>
          </w:rPr>
          <w:t>Patient section</w:t>
        </w:r>
        <w:r w:rsidR="00C132B1">
          <w:rPr>
            <w:webHidden/>
          </w:rPr>
          <w:tab/>
        </w:r>
        <w:r w:rsidR="00C132B1">
          <w:rPr>
            <w:webHidden/>
          </w:rPr>
          <w:fldChar w:fldCharType="begin"/>
        </w:r>
        <w:r w:rsidR="00C132B1">
          <w:rPr>
            <w:webHidden/>
          </w:rPr>
          <w:instrText xml:space="preserve"> PAGEREF _Toc511722714 \h </w:instrText>
        </w:r>
        <w:r w:rsidR="00C132B1">
          <w:rPr>
            <w:webHidden/>
          </w:rPr>
        </w:r>
        <w:r w:rsidR="00C132B1">
          <w:rPr>
            <w:webHidden/>
          </w:rPr>
          <w:fldChar w:fldCharType="separate"/>
        </w:r>
        <w:r w:rsidR="00C132B1">
          <w:rPr>
            <w:webHidden/>
          </w:rPr>
          <w:t>18</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5" w:history="1">
        <w:r w:rsidR="00C132B1" w:rsidRPr="00D653E4">
          <w:rPr>
            <w:rStyle w:val="Hyperlink"/>
            <w:rFonts w:ascii="Gill Sans MT" w:eastAsia="Calibri" w:hAnsi="Gill Sans MT" w:cs="Arial"/>
          </w:rPr>
          <w:t>Clinical audit</w:t>
        </w:r>
        <w:r w:rsidR="00C132B1">
          <w:rPr>
            <w:webHidden/>
          </w:rPr>
          <w:tab/>
        </w:r>
        <w:r w:rsidR="00C132B1">
          <w:rPr>
            <w:webHidden/>
          </w:rPr>
          <w:fldChar w:fldCharType="begin"/>
        </w:r>
        <w:r w:rsidR="00C132B1">
          <w:rPr>
            <w:webHidden/>
          </w:rPr>
          <w:instrText xml:space="preserve"> PAGEREF _Toc511722715 \h </w:instrText>
        </w:r>
        <w:r w:rsidR="00C132B1">
          <w:rPr>
            <w:webHidden/>
          </w:rPr>
        </w:r>
        <w:r w:rsidR="00C132B1">
          <w:rPr>
            <w:webHidden/>
          </w:rPr>
          <w:fldChar w:fldCharType="separate"/>
        </w:r>
        <w:r w:rsidR="00C132B1">
          <w:rPr>
            <w:webHidden/>
          </w:rPr>
          <w:t>18</w:t>
        </w:r>
        <w:r w:rsidR="00C132B1">
          <w:rPr>
            <w:webHidden/>
          </w:rPr>
          <w:fldChar w:fldCharType="end"/>
        </w:r>
      </w:hyperlink>
    </w:p>
    <w:p w:rsidR="00C132B1" w:rsidRDefault="00635B39">
      <w:pPr>
        <w:pStyle w:val="TOC1"/>
        <w:rPr>
          <w:rFonts w:asciiTheme="minorHAnsi" w:eastAsiaTheme="minorEastAsia" w:hAnsiTheme="minorHAnsi" w:cstheme="minorBidi"/>
          <w:b w:val="0"/>
          <w:sz w:val="22"/>
          <w:szCs w:val="22"/>
          <w:lang w:eastAsia="en-AU"/>
        </w:rPr>
      </w:pPr>
      <w:hyperlink w:anchor="_Toc511722716" w:history="1">
        <w:r w:rsidR="00C132B1" w:rsidRPr="00D653E4">
          <w:rPr>
            <w:rStyle w:val="Hyperlink"/>
            <w:rFonts w:ascii="Gill Sans MT" w:hAnsi="Gill Sans MT" w:cs="Arial"/>
          </w:rPr>
          <w:t>Appendix 3</w:t>
        </w:r>
        <w:r w:rsidR="00C132B1">
          <w:rPr>
            <w:webHidden/>
          </w:rPr>
          <w:tab/>
        </w:r>
        <w:r w:rsidR="00C132B1">
          <w:rPr>
            <w:webHidden/>
          </w:rPr>
          <w:fldChar w:fldCharType="begin"/>
        </w:r>
        <w:r w:rsidR="00C132B1">
          <w:rPr>
            <w:webHidden/>
          </w:rPr>
          <w:instrText xml:space="preserve"> PAGEREF _Toc511722716 \h </w:instrText>
        </w:r>
        <w:r w:rsidR="00C132B1">
          <w:rPr>
            <w:webHidden/>
          </w:rPr>
        </w:r>
        <w:r w:rsidR="00C132B1">
          <w:rPr>
            <w:webHidden/>
          </w:rPr>
          <w:fldChar w:fldCharType="separate"/>
        </w:r>
        <w:r w:rsidR="00C132B1">
          <w:rPr>
            <w:webHidden/>
          </w:rPr>
          <w:t>19</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7" w:history="1">
        <w:r w:rsidR="00C132B1" w:rsidRPr="00D653E4">
          <w:rPr>
            <w:rStyle w:val="Hyperlink"/>
            <w:rFonts w:ascii="Gill Sans MT" w:hAnsi="Gill Sans MT"/>
          </w:rPr>
          <w:t>What is PrEP?</w:t>
        </w:r>
        <w:r w:rsidR="00C132B1">
          <w:rPr>
            <w:webHidden/>
          </w:rPr>
          <w:tab/>
        </w:r>
        <w:r w:rsidR="00C132B1">
          <w:rPr>
            <w:webHidden/>
          </w:rPr>
          <w:fldChar w:fldCharType="begin"/>
        </w:r>
        <w:r w:rsidR="00C132B1">
          <w:rPr>
            <w:webHidden/>
          </w:rPr>
          <w:instrText xml:space="preserve"> PAGEREF _Toc511722717 \h </w:instrText>
        </w:r>
        <w:r w:rsidR="00C132B1">
          <w:rPr>
            <w:webHidden/>
          </w:rPr>
        </w:r>
        <w:r w:rsidR="00C132B1">
          <w:rPr>
            <w:webHidden/>
          </w:rPr>
          <w:fldChar w:fldCharType="separate"/>
        </w:r>
        <w:r w:rsidR="00C132B1">
          <w:rPr>
            <w:webHidden/>
          </w:rPr>
          <w:t>19</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8" w:history="1">
        <w:r w:rsidR="00C132B1" w:rsidRPr="00D653E4">
          <w:rPr>
            <w:rStyle w:val="Hyperlink"/>
            <w:rFonts w:ascii="Gill Sans MT" w:hAnsi="Gill Sans MT"/>
          </w:rPr>
          <w:t>What is involved in prescribing PrEP?</w:t>
        </w:r>
        <w:r w:rsidR="00C132B1">
          <w:rPr>
            <w:webHidden/>
          </w:rPr>
          <w:tab/>
        </w:r>
        <w:r w:rsidR="00C132B1">
          <w:rPr>
            <w:webHidden/>
          </w:rPr>
          <w:fldChar w:fldCharType="begin"/>
        </w:r>
        <w:r w:rsidR="00C132B1">
          <w:rPr>
            <w:webHidden/>
          </w:rPr>
          <w:instrText xml:space="preserve"> PAGEREF _Toc511722718 \h </w:instrText>
        </w:r>
        <w:r w:rsidR="00C132B1">
          <w:rPr>
            <w:webHidden/>
          </w:rPr>
        </w:r>
        <w:r w:rsidR="00C132B1">
          <w:rPr>
            <w:webHidden/>
          </w:rPr>
          <w:fldChar w:fldCharType="separate"/>
        </w:r>
        <w:r w:rsidR="00C132B1">
          <w:rPr>
            <w:webHidden/>
          </w:rPr>
          <w:t>19</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19" w:history="1">
        <w:r w:rsidR="00C132B1" w:rsidRPr="00D653E4">
          <w:rPr>
            <w:rStyle w:val="Hyperlink"/>
            <w:rFonts w:ascii="Gill Sans MT" w:hAnsi="Gill Sans MT"/>
          </w:rPr>
          <w:t>Who can prescribe PrEP?</w:t>
        </w:r>
        <w:r w:rsidR="00C132B1">
          <w:rPr>
            <w:webHidden/>
          </w:rPr>
          <w:tab/>
        </w:r>
        <w:r w:rsidR="00C132B1">
          <w:rPr>
            <w:webHidden/>
          </w:rPr>
          <w:fldChar w:fldCharType="begin"/>
        </w:r>
        <w:r w:rsidR="00C132B1">
          <w:rPr>
            <w:webHidden/>
          </w:rPr>
          <w:instrText xml:space="preserve"> PAGEREF _Toc511722719 \h </w:instrText>
        </w:r>
        <w:r w:rsidR="00C132B1">
          <w:rPr>
            <w:webHidden/>
          </w:rPr>
        </w:r>
        <w:r w:rsidR="00C132B1">
          <w:rPr>
            <w:webHidden/>
          </w:rPr>
          <w:fldChar w:fldCharType="separate"/>
        </w:r>
        <w:r w:rsidR="00C132B1">
          <w:rPr>
            <w:webHidden/>
          </w:rPr>
          <w:t>19</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20" w:history="1">
        <w:r w:rsidR="00C132B1" w:rsidRPr="00D653E4">
          <w:rPr>
            <w:rStyle w:val="Hyperlink"/>
            <w:rFonts w:ascii="Gill Sans MT" w:hAnsi="Gill Sans MT"/>
          </w:rPr>
          <w:t>Who is eligible for PrEP?</w:t>
        </w:r>
        <w:r w:rsidR="00C132B1">
          <w:rPr>
            <w:webHidden/>
          </w:rPr>
          <w:tab/>
        </w:r>
        <w:r w:rsidR="00C132B1">
          <w:rPr>
            <w:webHidden/>
          </w:rPr>
          <w:fldChar w:fldCharType="begin"/>
        </w:r>
        <w:r w:rsidR="00C132B1">
          <w:rPr>
            <w:webHidden/>
          </w:rPr>
          <w:instrText xml:space="preserve"> PAGEREF _Toc511722720 \h </w:instrText>
        </w:r>
        <w:r w:rsidR="00C132B1">
          <w:rPr>
            <w:webHidden/>
          </w:rPr>
        </w:r>
        <w:r w:rsidR="00C132B1">
          <w:rPr>
            <w:webHidden/>
          </w:rPr>
          <w:fldChar w:fldCharType="separate"/>
        </w:r>
        <w:r w:rsidR="00C132B1">
          <w:rPr>
            <w:webHidden/>
          </w:rPr>
          <w:t>20</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21" w:history="1">
        <w:r w:rsidR="00C132B1" w:rsidRPr="00D653E4">
          <w:rPr>
            <w:rStyle w:val="Hyperlink"/>
            <w:rFonts w:ascii="Gill Sans MT" w:hAnsi="Gill Sans MT"/>
          </w:rPr>
          <w:t>Are there any side effects to PrEP?</w:t>
        </w:r>
        <w:r w:rsidR="00C132B1">
          <w:rPr>
            <w:webHidden/>
          </w:rPr>
          <w:tab/>
        </w:r>
        <w:r w:rsidR="00C132B1">
          <w:rPr>
            <w:webHidden/>
          </w:rPr>
          <w:fldChar w:fldCharType="begin"/>
        </w:r>
        <w:r w:rsidR="00C132B1">
          <w:rPr>
            <w:webHidden/>
          </w:rPr>
          <w:instrText xml:space="preserve"> PAGEREF _Toc511722721 \h </w:instrText>
        </w:r>
        <w:r w:rsidR="00C132B1">
          <w:rPr>
            <w:webHidden/>
          </w:rPr>
        </w:r>
        <w:r w:rsidR="00C132B1">
          <w:rPr>
            <w:webHidden/>
          </w:rPr>
          <w:fldChar w:fldCharType="separate"/>
        </w:r>
        <w:r w:rsidR="00C132B1">
          <w:rPr>
            <w:webHidden/>
          </w:rPr>
          <w:t>20</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22" w:history="1">
        <w:r w:rsidR="00C132B1" w:rsidRPr="00D653E4">
          <w:rPr>
            <w:rStyle w:val="Hyperlink"/>
            <w:rFonts w:ascii="Gill Sans MT" w:hAnsi="Gill Sans MT"/>
          </w:rPr>
          <w:t>How much does PrEP cost?</w:t>
        </w:r>
        <w:r w:rsidR="00C132B1">
          <w:rPr>
            <w:webHidden/>
          </w:rPr>
          <w:tab/>
        </w:r>
        <w:r w:rsidR="00C132B1">
          <w:rPr>
            <w:webHidden/>
          </w:rPr>
          <w:fldChar w:fldCharType="begin"/>
        </w:r>
        <w:r w:rsidR="00C132B1">
          <w:rPr>
            <w:webHidden/>
          </w:rPr>
          <w:instrText xml:space="preserve"> PAGEREF _Toc511722722 \h </w:instrText>
        </w:r>
        <w:r w:rsidR="00C132B1">
          <w:rPr>
            <w:webHidden/>
          </w:rPr>
        </w:r>
        <w:r w:rsidR="00C132B1">
          <w:rPr>
            <w:webHidden/>
          </w:rPr>
          <w:fldChar w:fldCharType="separate"/>
        </w:r>
        <w:r w:rsidR="00C132B1">
          <w:rPr>
            <w:webHidden/>
          </w:rPr>
          <w:t>20</w:t>
        </w:r>
        <w:r w:rsidR="00C132B1">
          <w:rPr>
            <w:webHidden/>
          </w:rPr>
          <w:fldChar w:fldCharType="end"/>
        </w:r>
      </w:hyperlink>
    </w:p>
    <w:p w:rsidR="00C132B1" w:rsidRDefault="00635B39">
      <w:pPr>
        <w:pStyle w:val="TOC2"/>
        <w:rPr>
          <w:rFonts w:asciiTheme="minorHAnsi" w:eastAsiaTheme="minorEastAsia" w:hAnsiTheme="minorHAnsi" w:cstheme="minorBidi"/>
          <w:sz w:val="22"/>
          <w:szCs w:val="22"/>
          <w:lang w:eastAsia="en-AU"/>
        </w:rPr>
      </w:pPr>
      <w:hyperlink w:anchor="_Toc511722723" w:history="1">
        <w:r w:rsidR="00C132B1" w:rsidRPr="00D653E4">
          <w:rPr>
            <w:rStyle w:val="Hyperlink"/>
            <w:rFonts w:ascii="Gill Sans MT" w:hAnsi="Gill Sans MT"/>
          </w:rPr>
          <w:t>Who can I contact if I want more information?</w:t>
        </w:r>
        <w:r w:rsidR="00C132B1">
          <w:rPr>
            <w:webHidden/>
          </w:rPr>
          <w:tab/>
        </w:r>
        <w:r w:rsidR="00C132B1">
          <w:rPr>
            <w:webHidden/>
          </w:rPr>
          <w:fldChar w:fldCharType="begin"/>
        </w:r>
        <w:r w:rsidR="00C132B1">
          <w:rPr>
            <w:webHidden/>
          </w:rPr>
          <w:instrText xml:space="preserve"> PAGEREF _Toc511722723 \h </w:instrText>
        </w:r>
        <w:r w:rsidR="00C132B1">
          <w:rPr>
            <w:webHidden/>
          </w:rPr>
        </w:r>
        <w:r w:rsidR="00C132B1">
          <w:rPr>
            <w:webHidden/>
          </w:rPr>
          <w:fldChar w:fldCharType="separate"/>
        </w:r>
        <w:r w:rsidR="00C132B1">
          <w:rPr>
            <w:webHidden/>
          </w:rPr>
          <w:t>20</w:t>
        </w:r>
        <w:r w:rsidR="00C132B1">
          <w:rPr>
            <w:webHidden/>
          </w:rPr>
          <w:fldChar w:fldCharType="end"/>
        </w:r>
      </w:hyperlink>
    </w:p>
    <w:p w:rsidR="00180CEE" w:rsidRPr="00180CEE" w:rsidRDefault="00635B39" w:rsidP="00246D75">
      <w:pPr>
        <w:pStyle w:val="TOC1"/>
        <w:rPr>
          <w:rFonts w:ascii="Gill Sans MT" w:hAnsi="Gill Sans MT" w:cs="Arial"/>
        </w:rPr>
        <w:sectPr w:rsidR="00180CEE" w:rsidRPr="00180CEE" w:rsidSect="00246D75">
          <w:pgSz w:w="11906" w:h="16838"/>
          <w:pgMar w:top="1276" w:right="1304" w:bottom="1134" w:left="1304" w:header="454" w:footer="567" w:gutter="0"/>
          <w:cols w:space="720"/>
          <w:docGrid w:linePitch="360"/>
        </w:sectPr>
      </w:pPr>
      <w:hyperlink w:anchor="_Toc511722724" w:history="1">
        <w:r w:rsidR="00C132B1" w:rsidRPr="00D653E4">
          <w:rPr>
            <w:rStyle w:val="Hyperlink"/>
            <w:rFonts w:ascii="Gill Sans MT" w:hAnsi="Gill Sans MT" w:cs="Arial"/>
          </w:rPr>
          <w:t>References</w:t>
        </w:r>
        <w:r w:rsidR="00C132B1">
          <w:rPr>
            <w:webHidden/>
          </w:rPr>
          <w:tab/>
        </w:r>
        <w:r w:rsidR="00C132B1">
          <w:rPr>
            <w:webHidden/>
          </w:rPr>
          <w:fldChar w:fldCharType="begin"/>
        </w:r>
        <w:r w:rsidR="00C132B1">
          <w:rPr>
            <w:webHidden/>
          </w:rPr>
          <w:instrText xml:space="preserve"> PAGEREF _Toc511722724 \h </w:instrText>
        </w:r>
        <w:r w:rsidR="00C132B1">
          <w:rPr>
            <w:webHidden/>
          </w:rPr>
        </w:r>
        <w:r w:rsidR="00C132B1">
          <w:rPr>
            <w:webHidden/>
          </w:rPr>
          <w:fldChar w:fldCharType="separate"/>
        </w:r>
        <w:r w:rsidR="00C132B1">
          <w:rPr>
            <w:webHidden/>
          </w:rPr>
          <w:t>21</w:t>
        </w:r>
        <w:r w:rsidR="00C132B1">
          <w:rPr>
            <w:webHidden/>
          </w:rPr>
          <w:fldChar w:fldCharType="end"/>
        </w:r>
      </w:hyperlink>
      <w:r w:rsidR="00180CEE" w:rsidRPr="00246D75">
        <w:rPr>
          <w:rFonts w:ascii="Gill Sans MT" w:hAnsi="Gill Sans MT" w:cs="Arial"/>
        </w:rPr>
        <w:fldChar w:fldCharType="end"/>
      </w:r>
      <w:r w:rsidR="00180CEE" w:rsidRPr="00180CEE">
        <w:rPr>
          <w:rFonts w:ascii="Gill Sans MT" w:hAnsi="Gill Sans MT" w:cs="Arial"/>
        </w:rPr>
        <w:br w:type="page"/>
      </w:r>
    </w:p>
    <w:p w:rsidR="00180CEE" w:rsidRPr="00180CEE" w:rsidRDefault="00180CEE" w:rsidP="00180CEE">
      <w:pPr>
        <w:pStyle w:val="Heading1"/>
        <w:spacing w:before="0" w:after="140" w:line="300" w:lineRule="atLeast"/>
        <w:rPr>
          <w:rFonts w:ascii="Gill Sans MT" w:hAnsi="Gill Sans MT" w:cs="Arial"/>
        </w:rPr>
      </w:pPr>
      <w:bookmarkStart w:id="0" w:name="_Toc511722688"/>
      <w:r w:rsidRPr="00180CEE">
        <w:rPr>
          <w:rFonts w:ascii="Gill Sans MT" w:hAnsi="Gill Sans MT" w:cs="Arial"/>
        </w:rPr>
        <w:lastRenderedPageBreak/>
        <w:t>1.</w:t>
      </w:r>
      <w:r w:rsidRPr="00180CEE">
        <w:rPr>
          <w:rFonts w:ascii="Gill Sans MT" w:hAnsi="Gill Sans MT" w:cs="Arial"/>
        </w:rPr>
        <w:tab/>
        <w:t>Purpose</w:t>
      </w:r>
      <w:bookmarkEnd w:id="0"/>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This document provides medical practitioners with information on pre-exposure prophylaxis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to prevent the transmission of human immunodeficiency virus (HIV). This includes clinical guidelines for prescribing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eligibility criteria, monitoring and ongoing care, and evidence for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and other biomedical prevention strategies</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It is recommended that medical practitioners who prescribe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use this guidance document in conjunction with the Australasian Society for HIV, Viral Hepatitis and Sexual Health Medicine (ASHM) </w:t>
      </w:r>
      <w:r w:rsidRPr="00F2210D">
        <w:rPr>
          <w:rFonts w:ascii="Gill Sans MT" w:hAnsi="Gill Sans MT" w:cs="Arial"/>
          <w:i/>
          <w:sz w:val="22"/>
          <w:szCs w:val="22"/>
        </w:rPr>
        <w:t>HIV pre-exposure prophylaxis: clinical guidelines</w:t>
      </w:r>
      <w:r w:rsidRPr="00F2210D">
        <w:rPr>
          <w:rFonts w:ascii="Gill Sans MT" w:hAnsi="Gill Sans MT" w:cs="Arial"/>
          <w:sz w:val="22"/>
          <w:szCs w:val="22"/>
        </w:rPr>
        <w:t>;</w:t>
      </w:r>
      <w:r w:rsidRPr="00F2210D">
        <w:rPr>
          <w:rStyle w:val="EndnoteReference"/>
          <w:rFonts w:ascii="Gill Sans MT" w:hAnsi="Gill Sans MT" w:cs="Arial"/>
          <w:sz w:val="22"/>
          <w:szCs w:val="22"/>
        </w:rPr>
        <w:endnoteReference w:id="1"/>
      </w:r>
      <w:r w:rsidRPr="00F2210D">
        <w:rPr>
          <w:rFonts w:ascii="Gill Sans MT" w:hAnsi="Gill Sans MT" w:cs="Arial"/>
          <w:sz w:val="22"/>
          <w:szCs w:val="22"/>
        </w:rPr>
        <w:t xml:space="preserve"> and the Sexually Transmissible Infections in Gay Men Action Group’s (STIGMA) </w:t>
      </w:r>
      <w:r w:rsidRPr="00F2210D">
        <w:rPr>
          <w:rFonts w:ascii="Gill Sans MT" w:hAnsi="Gill Sans MT" w:cs="Arial"/>
          <w:i/>
          <w:sz w:val="22"/>
          <w:szCs w:val="22"/>
        </w:rPr>
        <w:t>Australian Sexually Transmitted Infection and HIV Testing Guidelines</w:t>
      </w:r>
      <w:r w:rsidRPr="00F2210D">
        <w:rPr>
          <w:rStyle w:val="EndnoteReference"/>
          <w:rFonts w:ascii="Gill Sans MT" w:hAnsi="Gill Sans MT" w:cs="Arial"/>
          <w:i/>
          <w:sz w:val="22"/>
          <w:szCs w:val="22"/>
        </w:rPr>
        <w:endnoteReference w:id="2"/>
      </w:r>
      <w:r w:rsidRPr="00F2210D">
        <w:rPr>
          <w:rFonts w:ascii="Gill Sans MT" w:hAnsi="Gill Sans MT" w:cs="Arial"/>
          <w:sz w:val="22"/>
          <w:szCs w:val="22"/>
        </w:rPr>
        <w:t xml:space="preserve"> to ensure a high standard of sexual health care when prescribing </w:t>
      </w:r>
      <w:proofErr w:type="spellStart"/>
      <w:r w:rsidRPr="00F2210D">
        <w:rPr>
          <w:rFonts w:ascii="Gill Sans MT" w:hAnsi="Gill Sans MT" w:cs="Arial"/>
          <w:sz w:val="22"/>
          <w:szCs w:val="22"/>
        </w:rPr>
        <w:t>PrEP.</w:t>
      </w:r>
      <w:proofErr w:type="spellEnd"/>
    </w:p>
    <w:p w:rsidR="00180CEE" w:rsidRPr="00180CEE" w:rsidRDefault="00180CEE" w:rsidP="00180CEE">
      <w:pPr>
        <w:pStyle w:val="Heading1"/>
        <w:spacing w:before="0" w:after="140" w:line="300" w:lineRule="atLeast"/>
        <w:rPr>
          <w:rFonts w:ascii="Gill Sans MT" w:hAnsi="Gill Sans MT" w:cs="Arial"/>
        </w:rPr>
      </w:pPr>
      <w:bookmarkStart w:id="1" w:name="_Toc511722689"/>
      <w:r w:rsidRPr="00180CEE">
        <w:rPr>
          <w:rFonts w:ascii="Gill Sans MT" w:hAnsi="Gill Sans MT" w:cs="Arial"/>
        </w:rPr>
        <w:t>2.</w:t>
      </w:r>
      <w:r w:rsidRPr="00180CEE">
        <w:rPr>
          <w:rFonts w:ascii="Gill Sans MT" w:hAnsi="Gill Sans MT" w:cs="Arial"/>
        </w:rPr>
        <w:tab/>
        <w:t>Background</w:t>
      </w:r>
      <w:bookmarkEnd w:id="1"/>
    </w:p>
    <w:p w:rsidR="00180CEE" w:rsidRPr="00F2210D" w:rsidRDefault="00180CEE" w:rsidP="00180CEE">
      <w:pPr>
        <w:pStyle w:val="DHHSbody"/>
        <w:spacing w:after="140" w:line="300" w:lineRule="atLeast"/>
        <w:rPr>
          <w:rFonts w:ascii="Gill Sans MT" w:hAnsi="Gill Sans MT"/>
          <w:sz w:val="22"/>
          <w:szCs w:val="22"/>
        </w:rPr>
      </w:pPr>
      <w:proofErr w:type="spellStart"/>
      <w:r w:rsidRPr="00F2210D">
        <w:rPr>
          <w:rFonts w:ascii="Gill Sans MT" w:hAnsi="Gill Sans MT"/>
          <w:sz w:val="22"/>
          <w:szCs w:val="22"/>
        </w:rPr>
        <w:t>PrEP</w:t>
      </w:r>
      <w:proofErr w:type="spellEnd"/>
      <w:r w:rsidRPr="00F2210D">
        <w:rPr>
          <w:rFonts w:ascii="Gill Sans MT" w:hAnsi="Gill Sans MT"/>
          <w:sz w:val="22"/>
          <w:szCs w:val="22"/>
        </w:rPr>
        <w:t xml:space="preserve"> is one of several vital tools needed to achieve these goals. Along with undetectable viral load, post-exposure prophylaxis (PEP), and condoms, easy and affordable access to </w:t>
      </w:r>
      <w:proofErr w:type="spellStart"/>
      <w:r w:rsidRPr="00F2210D">
        <w:rPr>
          <w:rFonts w:ascii="Gill Sans MT" w:hAnsi="Gill Sans MT"/>
          <w:sz w:val="22"/>
          <w:szCs w:val="22"/>
        </w:rPr>
        <w:t>PrEP</w:t>
      </w:r>
      <w:proofErr w:type="spellEnd"/>
      <w:r w:rsidRPr="00F2210D">
        <w:rPr>
          <w:rFonts w:ascii="Gill Sans MT" w:hAnsi="Gill Sans MT"/>
          <w:sz w:val="22"/>
          <w:szCs w:val="22"/>
        </w:rPr>
        <w:t xml:space="preserve"> can help individuals take charge of their sexual health and wellbeing.</w:t>
      </w:r>
    </w:p>
    <w:p w:rsidR="00180CEE" w:rsidRPr="00180CEE" w:rsidRDefault="00180CEE" w:rsidP="00180CEE">
      <w:pPr>
        <w:pStyle w:val="Heading2"/>
        <w:spacing w:before="0" w:after="140" w:line="300" w:lineRule="atLeast"/>
        <w:rPr>
          <w:rFonts w:ascii="Gill Sans MT" w:hAnsi="Gill Sans MT" w:cs="Arial"/>
        </w:rPr>
      </w:pPr>
      <w:bookmarkStart w:id="2" w:name="_Toc511722690"/>
      <w:r w:rsidRPr="00180CEE">
        <w:rPr>
          <w:rFonts w:ascii="Gill Sans MT" w:hAnsi="Gill Sans MT" w:cs="Arial"/>
        </w:rPr>
        <w:t>Pre-exposure prophylaxis (</w:t>
      </w:r>
      <w:proofErr w:type="spellStart"/>
      <w:r w:rsidRPr="00180CEE">
        <w:rPr>
          <w:rFonts w:ascii="Gill Sans MT" w:hAnsi="Gill Sans MT" w:cs="Arial"/>
        </w:rPr>
        <w:t>PrEP</w:t>
      </w:r>
      <w:proofErr w:type="spellEnd"/>
      <w:r w:rsidRPr="00180CEE">
        <w:rPr>
          <w:rFonts w:ascii="Gill Sans MT" w:hAnsi="Gill Sans MT" w:cs="Arial"/>
        </w:rPr>
        <w:t>)</w:t>
      </w:r>
      <w:bookmarkEnd w:id="2"/>
    </w:p>
    <w:p w:rsidR="00180CEE" w:rsidRPr="00F2210D" w:rsidRDefault="00180CEE" w:rsidP="00180CEE">
      <w:pPr>
        <w:pStyle w:val="DHHSbody"/>
        <w:spacing w:after="140" w:line="300" w:lineRule="atLeast"/>
        <w:rPr>
          <w:rFonts w:ascii="Gill Sans MT" w:hAnsi="Gill Sans MT"/>
          <w:sz w:val="22"/>
          <w:szCs w:val="22"/>
        </w:rPr>
      </w:pPr>
      <w:proofErr w:type="spellStart"/>
      <w:r w:rsidRPr="00F2210D">
        <w:rPr>
          <w:rFonts w:ascii="Gill Sans MT" w:hAnsi="Gill Sans MT"/>
          <w:sz w:val="22"/>
          <w:szCs w:val="22"/>
        </w:rPr>
        <w:t>PrEP</w:t>
      </w:r>
      <w:proofErr w:type="spellEnd"/>
      <w:r w:rsidRPr="00F2210D">
        <w:rPr>
          <w:rFonts w:ascii="Gill Sans MT" w:hAnsi="Gill Sans MT"/>
          <w:sz w:val="22"/>
          <w:szCs w:val="22"/>
        </w:rPr>
        <w:t xml:space="preserve"> is the use of HIV medications to prevent the transmission of HIV. When taken daily, </w:t>
      </w:r>
      <w:proofErr w:type="spellStart"/>
      <w:r w:rsidRPr="00F2210D">
        <w:rPr>
          <w:rFonts w:ascii="Gill Sans MT" w:hAnsi="Gill Sans MT"/>
          <w:sz w:val="22"/>
          <w:szCs w:val="22"/>
        </w:rPr>
        <w:t>PrEP</w:t>
      </w:r>
      <w:proofErr w:type="spellEnd"/>
      <w:r w:rsidRPr="00F2210D">
        <w:rPr>
          <w:rFonts w:ascii="Gill Sans MT" w:hAnsi="Gill Sans MT"/>
          <w:sz w:val="22"/>
          <w:szCs w:val="22"/>
        </w:rPr>
        <w:t xml:space="preserve"> is up to 99 per cent effective in preventing HIV.</w:t>
      </w:r>
      <w:r w:rsidRPr="00F2210D">
        <w:rPr>
          <w:rStyle w:val="EndnoteReference"/>
          <w:rFonts w:ascii="Gill Sans MT" w:hAnsi="Gill Sans MT"/>
          <w:sz w:val="22"/>
          <w:szCs w:val="22"/>
        </w:rPr>
        <w:endnoteReference w:id="3"/>
      </w:r>
      <w:r w:rsidRPr="00F2210D">
        <w:rPr>
          <w:rFonts w:ascii="Gill Sans MT" w:hAnsi="Gill Sans MT"/>
          <w:sz w:val="22"/>
          <w:szCs w:val="22"/>
        </w:rPr>
        <w:t xml:space="preserve"> Currently only one medication is approved for use as </w:t>
      </w:r>
      <w:proofErr w:type="spellStart"/>
      <w:r w:rsidRPr="00F2210D">
        <w:rPr>
          <w:rFonts w:ascii="Gill Sans MT" w:hAnsi="Gill Sans MT"/>
          <w:sz w:val="22"/>
          <w:szCs w:val="22"/>
        </w:rPr>
        <w:t>PrEP</w:t>
      </w:r>
      <w:proofErr w:type="spellEnd"/>
      <w:r w:rsidRPr="00F2210D">
        <w:rPr>
          <w:rFonts w:ascii="Gill Sans MT" w:hAnsi="Gill Sans MT"/>
          <w:sz w:val="22"/>
          <w:szCs w:val="22"/>
        </w:rPr>
        <w:t xml:space="preserve">: co-formulated </w:t>
      </w:r>
      <w:proofErr w:type="spellStart"/>
      <w:r w:rsidRPr="00F2210D">
        <w:rPr>
          <w:rFonts w:ascii="Gill Sans MT" w:hAnsi="Gill Sans MT"/>
          <w:sz w:val="22"/>
          <w:szCs w:val="22"/>
        </w:rPr>
        <w:t>tenofovir</w:t>
      </w:r>
      <w:proofErr w:type="spellEnd"/>
      <w:r w:rsidRPr="00F2210D">
        <w:rPr>
          <w:rFonts w:ascii="Gill Sans MT" w:hAnsi="Gill Sans MT"/>
          <w:sz w:val="22"/>
          <w:szCs w:val="22"/>
        </w:rPr>
        <w:t xml:space="preserve"> with </w:t>
      </w:r>
      <w:proofErr w:type="spellStart"/>
      <w:r w:rsidRPr="00F2210D">
        <w:rPr>
          <w:rFonts w:ascii="Gill Sans MT" w:hAnsi="Gill Sans MT"/>
          <w:sz w:val="22"/>
          <w:szCs w:val="22"/>
        </w:rPr>
        <w:t>emtricitabine</w:t>
      </w:r>
      <w:proofErr w:type="spellEnd"/>
      <w:r w:rsidRPr="00F2210D">
        <w:rPr>
          <w:rFonts w:ascii="Gill Sans MT" w:hAnsi="Gill Sans MT"/>
          <w:sz w:val="22"/>
          <w:szCs w:val="22"/>
        </w:rPr>
        <w:t xml:space="preserve">. It has been used for many years to treat HIV. Three brands of </w:t>
      </w:r>
      <w:proofErr w:type="spellStart"/>
      <w:r w:rsidRPr="00F2210D">
        <w:rPr>
          <w:rFonts w:ascii="Gill Sans MT" w:hAnsi="Gill Sans MT"/>
          <w:sz w:val="22"/>
          <w:szCs w:val="22"/>
        </w:rPr>
        <w:t>tenofovir</w:t>
      </w:r>
      <w:proofErr w:type="spellEnd"/>
      <w:r w:rsidRPr="00F2210D">
        <w:rPr>
          <w:rFonts w:ascii="Gill Sans MT" w:hAnsi="Gill Sans MT"/>
          <w:sz w:val="22"/>
          <w:szCs w:val="22"/>
        </w:rPr>
        <w:t xml:space="preserve"> with </w:t>
      </w:r>
      <w:proofErr w:type="spellStart"/>
      <w:r w:rsidRPr="00F2210D">
        <w:rPr>
          <w:rFonts w:ascii="Gill Sans MT" w:hAnsi="Gill Sans MT"/>
          <w:sz w:val="22"/>
          <w:szCs w:val="22"/>
        </w:rPr>
        <w:t>emtricitabine</w:t>
      </w:r>
      <w:proofErr w:type="spellEnd"/>
      <w:r w:rsidRPr="00F2210D">
        <w:rPr>
          <w:rFonts w:ascii="Gill Sans MT" w:hAnsi="Gill Sans MT"/>
          <w:sz w:val="22"/>
          <w:szCs w:val="22"/>
        </w:rPr>
        <w:t xml:space="preserve"> are available on the Pharmaceutical Benefits Scheme as </w:t>
      </w:r>
      <w:proofErr w:type="spellStart"/>
      <w:r w:rsidRPr="00F2210D">
        <w:rPr>
          <w:rFonts w:ascii="Gill Sans MT" w:hAnsi="Gill Sans MT"/>
          <w:sz w:val="22"/>
          <w:szCs w:val="22"/>
        </w:rPr>
        <w:t>PrEP.</w:t>
      </w:r>
      <w:proofErr w:type="spellEnd"/>
    </w:p>
    <w:p w:rsidR="00180CEE" w:rsidRPr="00180CEE" w:rsidRDefault="00180CEE" w:rsidP="00180CEE">
      <w:pPr>
        <w:pStyle w:val="Heading2"/>
        <w:spacing w:before="0" w:after="140" w:line="300" w:lineRule="atLeast"/>
        <w:rPr>
          <w:rFonts w:ascii="Gill Sans MT" w:hAnsi="Gill Sans MT" w:cs="Arial"/>
        </w:rPr>
      </w:pPr>
      <w:bookmarkStart w:id="3" w:name="_Toc511722691"/>
      <w:r w:rsidRPr="00180CEE">
        <w:rPr>
          <w:rFonts w:ascii="Gill Sans MT" w:hAnsi="Gill Sans MT" w:cs="Arial"/>
        </w:rPr>
        <w:t xml:space="preserve">Clinical evidence on </w:t>
      </w:r>
      <w:proofErr w:type="spellStart"/>
      <w:r w:rsidRPr="00180CEE">
        <w:rPr>
          <w:rFonts w:ascii="Gill Sans MT" w:hAnsi="Gill Sans MT" w:cs="Arial"/>
        </w:rPr>
        <w:t>PrEP</w:t>
      </w:r>
      <w:bookmarkEnd w:id="3"/>
      <w:proofErr w:type="spellEnd"/>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2012, the World Health Organization (WHO) released preliminary guidance on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The WHO guidance was based on evidence from multiple clinical trials demonstrating the effectiveness of two key ARVs, </w:t>
      </w:r>
      <w:proofErr w:type="spellStart"/>
      <w:r w:rsidRPr="00F2210D">
        <w:rPr>
          <w:rFonts w:ascii="Gill Sans MT" w:hAnsi="Gill Sans MT" w:cs="Arial"/>
          <w:sz w:val="22"/>
          <w:szCs w:val="22"/>
        </w:rPr>
        <w:t>tenofovir</w:t>
      </w:r>
      <w:proofErr w:type="spellEnd"/>
      <w:r w:rsidRPr="00F2210D">
        <w:rPr>
          <w:rFonts w:ascii="Gill Sans MT" w:hAnsi="Gill Sans MT" w:cs="Arial"/>
          <w:sz w:val="22"/>
          <w:szCs w:val="22"/>
        </w:rPr>
        <w:t xml:space="preserve"> </w:t>
      </w:r>
      <w:proofErr w:type="spellStart"/>
      <w:r w:rsidRPr="00F2210D">
        <w:rPr>
          <w:rFonts w:ascii="Gill Sans MT" w:hAnsi="Gill Sans MT" w:cs="Arial"/>
          <w:sz w:val="22"/>
          <w:szCs w:val="22"/>
        </w:rPr>
        <w:t>disoproxil</w:t>
      </w:r>
      <w:proofErr w:type="spellEnd"/>
      <w:r w:rsidRPr="00F2210D">
        <w:rPr>
          <w:rFonts w:ascii="Gill Sans MT" w:hAnsi="Gill Sans MT" w:cs="Arial"/>
          <w:sz w:val="22"/>
          <w:szCs w:val="22"/>
        </w:rPr>
        <w:t xml:space="preserve"> fumarate, and </w:t>
      </w:r>
      <w:proofErr w:type="spellStart"/>
      <w:r w:rsidRPr="00F2210D">
        <w:rPr>
          <w:rFonts w:ascii="Gill Sans MT" w:hAnsi="Gill Sans MT" w:cs="Arial"/>
          <w:sz w:val="22"/>
          <w:szCs w:val="22"/>
        </w:rPr>
        <w:t>emtricitabine</w:t>
      </w:r>
      <w:proofErr w:type="spellEnd"/>
      <w:r w:rsidRPr="00F2210D">
        <w:rPr>
          <w:rFonts w:ascii="Gill Sans MT" w:hAnsi="Gill Sans MT" w:cs="Arial"/>
          <w:sz w:val="22"/>
          <w:szCs w:val="22"/>
        </w:rPr>
        <w:t>, in preventing the transmission of HIV infection in HIV-negative adults.</w:t>
      </w:r>
      <w:r w:rsidRPr="00F2210D">
        <w:rPr>
          <w:rStyle w:val="EndnoteReference"/>
          <w:rFonts w:ascii="Gill Sans MT" w:hAnsi="Gill Sans MT" w:cs="Arial"/>
          <w:sz w:val="22"/>
          <w:szCs w:val="22"/>
        </w:rPr>
        <w:endnoteReference w:id="4"/>
      </w:r>
      <w:r w:rsidRPr="00F2210D">
        <w:rPr>
          <w:rFonts w:ascii="Gill Sans MT" w:hAnsi="Gill Sans MT" w:cs="Arial"/>
          <w:sz w:val="22"/>
          <w:szCs w:val="22"/>
          <w:vertAlign w:val="superscript"/>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a number of countries, these ARVs are sold as an oral fixed-dose combination under the brand name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w:t>
      </w:r>
      <w:r w:rsidRPr="00F2210D">
        <w:rPr>
          <w:rStyle w:val="EndnoteReference"/>
          <w:rFonts w:ascii="Gill Sans MT" w:hAnsi="Gill Sans MT" w:cs="Arial"/>
          <w:sz w:val="22"/>
          <w:szCs w:val="22"/>
        </w:rPr>
        <w:endnoteReference w:id="5"/>
      </w:r>
    </w:p>
    <w:p w:rsidR="00180CEE" w:rsidRPr="00F2210D" w:rsidRDefault="00180CEE" w:rsidP="00180CEE">
      <w:pPr>
        <w:pStyle w:val="DHHSbody"/>
        <w:spacing w:after="140" w:line="300" w:lineRule="atLeast"/>
        <w:rPr>
          <w:rFonts w:ascii="Gill Sans MT" w:hAnsi="Gill Sans MT" w:cs="Arial"/>
          <w:sz w:val="22"/>
          <w:szCs w:val="22"/>
          <w:vertAlign w:val="superscript"/>
        </w:rPr>
      </w:pPr>
      <w:r w:rsidRPr="00F2210D">
        <w:rPr>
          <w:rFonts w:ascii="Gill Sans MT" w:hAnsi="Gill Sans MT" w:cs="Arial"/>
          <w:sz w:val="22"/>
          <w:szCs w:val="22"/>
        </w:rPr>
        <w:t xml:space="preserve">In 2012, the United States Food and Drug Administration approved the use of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 xml:space="preserve"> for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The United States </w:t>
      </w:r>
      <w:proofErr w:type="spellStart"/>
      <w:r w:rsidRPr="00F2210D">
        <w:rPr>
          <w:rFonts w:ascii="Gill Sans MT" w:hAnsi="Gill Sans MT" w:cs="Arial"/>
          <w:sz w:val="22"/>
          <w:szCs w:val="22"/>
        </w:rPr>
        <w:t>Centers</w:t>
      </w:r>
      <w:proofErr w:type="spellEnd"/>
      <w:r w:rsidRPr="00F2210D">
        <w:rPr>
          <w:rFonts w:ascii="Gill Sans MT" w:hAnsi="Gill Sans MT" w:cs="Arial"/>
          <w:sz w:val="22"/>
          <w:szCs w:val="22"/>
        </w:rPr>
        <w:t xml:space="preserve"> for Disease Control (CDC) released clinical practice guidelines for men who have sex with men and heterosexuals in 2015, which were updated to include people who inject drugs.</w:t>
      </w:r>
      <w:r w:rsidRPr="00F2210D">
        <w:rPr>
          <w:rStyle w:val="EndnoteReference"/>
          <w:rFonts w:ascii="Gill Sans MT" w:hAnsi="Gill Sans MT" w:cs="Arial"/>
          <w:sz w:val="22"/>
          <w:szCs w:val="22"/>
        </w:rPr>
        <w:endnoteReference w:id="6"/>
      </w:r>
      <w:r w:rsidRPr="00F2210D">
        <w:rPr>
          <w:rFonts w:ascii="Gill Sans MT" w:hAnsi="Gill Sans MT" w:cs="Arial"/>
          <w:sz w:val="22"/>
          <w:szCs w:val="22"/>
          <w:vertAlign w:val="superscript"/>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Since the development of the 2012 WHO guidance, continuing trials have added to the evidence base that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when taken every day, has the potential to reduce the risk of HIV infection by more than 99 per cent.</w:t>
      </w:r>
      <w:r w:rsidRPr="00F2210D">
        <w:rPr>
          <w:rFonts w:ascii="Gill Sans MT" w:hAnsi="Gill Sans MT" w:cs="Arial"/>
          <w:sz w:val="22"/>
          <w:szCs w:val="22"/>
          <w:vertAlign w:val="superscript"/>
        </w:rPr>
        <w:t>4</w:t>
      </w:r>
      <w:r w:rsidRPr="00F2210D">
        <w:rPr>
          <w:rFonts w:ascii="Gill Sans MT" w:hAnsi="Gill Sans MT" w:cs="Arial"/>
          <w:sz w:val="22"/>
          <w:szCs w:val="22"/>
        </w:rPr>
        <w:t xml:space="preserve"> For heterosexual women or transgender men having vaginal sex,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must be taken every day in order to be effective.</w:t>
      </w:r>
      <w:r w:rsidRPr="00F2210D">
        <w:rPr>
          <w:rStyle w:val="EndnoteReference"/>
          <w:rFonts w:ascii="Gill Sans MT" w:hAnsi="Gill Sans MT" w:cs="Arial"/>
          <w:sz w:val="22"/>
          <w:szCs w:val="22"/>
        </w:rPr>
        <w:endnoteReference w:id="7"/>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September 2015, WHO recommended that oral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containing </w:t>
      </w:r>
      <w:proofErr w:type="spellStart"/>
      <w:r w:rsidRPr="00F2210D">
        <w:rPr>
          <w:rFonts w:ascii="Gill Sans MT" w:hAnsi="Gill Sans MT" w:cs="Arial"/>
          <w:sz w:val="22"/>
          <w:szCs w:val="22"/>
        </w:rPr>
        <w:t>tenofovir</w:t>
      </w:r>
      <w:proofErr w:type="spellEnd"/>
      <w:r w:rsidRPr="00F2210D">
        <w:rPr>
          <w:rFonts w:ascii="Gill Sans MT" w:hAnsi="Gill Sans MT" w:cs="Arial"/>
          <w:sz w:val="22"/>
          <w:szCs w:val="22"/>
        </w:rPr>
        <w:t xml:space="preserve"> should be offered as an additional prevention choice for people at substantial risk of HIV </w:t>
      </w:r>
      <w:proofErr w:type="gramStart"/>
      <w:r w:rsidRPr="00F2210D">
        <w:rPr>
          <w:rFonts w:ascii="Gill Sans MT" w:hAnsi="Gill Sans MT" w:cs="Arial"/>
          <w:sz w:val="22"/>
          <w:szCs w:val="22"/>
        </w:rPr>
        <w:t>infection.</w:t>
      </w:r>
      <w:proofErr w:type="gramEnd"/>
      <w:r w:rsidRPr="00F2210D">
        <w:rPr>
          <w:rStyle w:val="EndnoteReference"/>
          <w:rFonts w:ascii="Gill Sans MT" w:hAnsi="Gill Sans MT" w:cs="Arial"/>
          <w:sz w:val="22"/>
          <w:szCs w:val="22"/>
        </w:rPr>
        <w:endnoteReference w:id="8"/>
      </w:r>
    </w:p>
    <w:p w:rsidR="00180CEE" w:rsidRPr="00180CEE" w:rsidRDefault="00180CEE" w:rsidP="00180CEE">
      <w:pPr>
        <w:pStyle w:val="Heading2"/>
        <w:spacing w:before="0" w:after="140" w:line="300" w:lineRule="atLeast"/>
        <w:rPr>
          <w:rFonts w:ascii="Gill Sans MT" w:hAnsi="Gill Sans MT" w:cs="Arial"/>
        </w:rPr>
      </w:pPr>
      <w:bookmarkStart w:id="4" w:name="_Toc511722692"/>
      <w:proofErr w:type="spellStart"/>
      <w:r w:rsidRPr="00180CEE">
        <w:rPr>
          <w:rFonts w:ascii="Gill Sans MT" w:hAnsi="Gill Sans MT" w:cs="Arial"/>
        </w:rPr>
        <w:lastRenderedPageBreak/>
        <w:t>PrEP</w:t>
      </w:r>
      <w:proofErr w:type="spellEnd"/>
      <w:r w:rsidRPr="00180CEE">
        <w:rPr>
          <w:rFonts w:ascii="Gill Sans MT" w:hAnsi="Gill Sans MT" w:cs="Arial"/>
        </w:rPr>
        <w:t xml:space="preserve"> in Australia</w:t>
      </w:r>
      <w:bookmarkEnd w:id="4"/>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Several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demonstration projects have been operating in Victoria, South Australia, Western Australia, Tasmania, ACT, Queensland, and New South Wales. When these demonstration projects began, </w:t>
      </w:r>
      <w:proofErr w:type="spellStart"/>
      <w:r w:rsidRPr="00F2210D">
        <w:rPr>
          <w:rFonts w:ascii="Gill Sans MT" w:hAnsi="Gill Sans MT" w:cs="Arial"/>
          <w:sz w:val="22"/>
          <w:szCs w:val="22"/>
        </w:rPr>
        <w:t>tenofovir</w:t>
      </w:r>
      <w:proofErr w:type="spellEnd"/>
      <w:r w:rsidRPr="00F2210D">
        <w:rPr>
          <w:rFonts w:ascii="Gill Sans MT" w:hAnsi="Gill Sans MT" w:cs="Arial"/>
          <w:sz w:val="22"/>
          <w:szCs w:val="22"/>
        </w:rPr>
        <w:t xml:space="preserve"> with </w:t>
      </w:r>
      <w:proofErr w:type="spellStart"/>
      <w:r w:rsidRPr="00F2210D">
        <w:rPr>
          <w:rFonts w:ascii="Gill Sans MT" w:hAnsi="Gill Sans MT" w:cs="Arial"/>
          <w:sz w:val="22"/>
          <w:szCs w:val="22"/>
        </w:rPr>
        <w:t>emtricitabine</w:t>
      </w:r>
      <w:proofErr w:type="spellEnd"/>
      <w:r w:rsidRPr="00F2210D">
        <w:rPr>
          <w:rFonts w:ascii="Gill Sans MT" w:hAnsi="Gill Sans MT" w:cs="Arial"/>
          <w:sz w:val="22"/>
          <w:szCs w:val="22"/>
        </w:rPr>
        <w:t xml:space="preserve"> was approved by the Therapeutic Goods Administration (TGA) only for the treatment and management of HIV infection.</w:t>
      </w:r>
      <w:r w:rsidRPr="00F2210D">
        <w:rPr>
          <w:rFonts w:ascii="Gill Sans MT" w:hAnsi="Gill Sans MT" w:cs="Arial"/>
          <w:sz w:val="22"/>
          <w:szCs w:val="22"/>
          <w:vertAlign w:val="superscript"/>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February 2015, the Australasian Society for HIV, Viral Hepatitis and Sexual Health Medicine (ASHM) released clinical practice guidelines for s 100 prescribers on prescribing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based on guidelines from the United States </w:t>
      </w:r>
      <w:proofErr w:type="spellStart"/>
      <w:r w:rsidRPr="00F2210D">
        <w:rPr>
          <w:rFonts w:ascii="Gill Sans MT" w:hAnsi="Gill Sans MT" w:cs="Arial"/>
          <w:sz w:val="22"/>
          <w:szCs w:val="22"/>
        </w:rPr>
        <w:t>Centers</w:t>
      </w:r>
      <w:proofErr w:type="spellEnd"/>
      <w:r w:rsidRPr="00F2210D">
        <w:rPr>
          <w:rFonts w:ascii="Gill Sans MT" w:hAnsi="Gill Sans MT" w:cs="Arial"/>
          <w:sz w:val="22"/>
          <w:szCs w:val="22"/>
        </w:rPr>
        <w:t xml:space="preserve"> for Disease Control.</w:t>
      </w:r>
      <w:r w:rsidRPr="00F2210D">
        <w:rPr>
          <w:rFonts w:ascii="Gill Sans MT" w:hAnsi="Gill Sans MT" w:cs="Arial"/>
          <w:sz w:val="22"/>
          <w:szCs w:val="22"/>
          <w:vertAlign w:val="superscript"/>
        </w:rPr>
        <w:t>7</w:t>
      </w:r>
      <w:r w:rsidRPr="00F2210D">
        <w:rPr>
          <w:rFonts w:ascii="Gill Sans MT" w:hAnsi="Gill Sans MT" w:cs="Arial"/>
          <w:sz w:val="22"/>
          <w:szCs w:val="22"/>
        </w:rPr>
        <w:t xml:space="preserve"> </w:t>
      </w:r>
      <w:proofErr w:type="gramStart"/>
      <w:r w:rsidRPr="00F2210D">
        <w:rPr>
          <w:rFonts w:ascii="Gill Sans MT" w:hAnsi="Gill Sans MT" w:cs="Arial"/>
          <w:sz w:val="22"/>
          <w:szCs w:val="22"/>
        </w:rPr>
        <w:t>The</w:t>
      </w:r>
      <w:proofErr w:type="gramEnd"/>
      <w:r w:rsidRPr="00F2210D">
        <w:rPr>
          <w:rFonts w:ascii="Gill Sans MT" w:hAnsi="Gill Sans MT" w:cs="Arial"/>
          <w:sz w:val="22"/>
          <w:szCs w:val="22"/>
        </w:rPr>
        <w:t xml:space="preserve"> ASHM guidelines were updated in 2017.</w:t>
      </w:r>
      <w:r w:rsidRPr="00F2210D">
        <w:rPr>
          <w:rFonts w:ascii="Gill Sans MT" w:hAnsi="Gill Sans MT" w:cs="Arial"/>
          <w:sz w:val="22"/>
          <w:szCs w:val="22"/>
          <w:vertAlign w:val="superscript"/>
        </w:rPr>
        <w:t>1</w:t>
      </w:r>
      <w:r w:rsidRPr="00F2210D">
        <w:rPr>
          <w:rFonts w:ascii="Gill Sans MT" w:hAnsi="Gill Sans MT" w:cs="Arial"/>
          <w:sz w:val="22"/>
          <w:szCs w:val="22"/>
        </w:rPr>
        <w:t xml:space="preserve"> The ASHM guidelines make reference to:</w:t>
      </w:r>
    </w:p>
    <w:p w:rsidR="00180CEE" w:rsidRPr="00F2210D" w:rsidRDefault="00180CEE" w:rsidP="00F2210D">
      <w:pPr>
        <w:pStyle w:val="DHHSbullet1"/>
        <w:spacing w:after="140" w:line="300" w:lineRule="atLeast"/>
        <w:ind w:left="567" w:hanging="567"/>
        <w:rPr>
          <w:rFonts w:ascii="Gill Sans MT" w:hAnsi="Gill Sans MT" w:cs="Arial"/>
          <w:sz w:val="22"/>
          <w:szCs w:val="22"/>
        </w:rPr>
      </w:pPr>
      <w:r w:rsidRPr="00F2210D">
        <w:rPr>
          <w:rFonts w:ascii="Gill Sans MT" w:hAnsi="Gill Sans MT" w:cs="Arial"/>
          <w:sz w:val="22"/>
          <w:szCs w:val="22"/>
        </w:rPr>
        <w:t xml:space="preserve">research evidence about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effectiveness and safety</w:t>
      </w:r>
    </w:p>
    <w:p w:rsidR="00180CEE" w:rsidRPr="00F2210D" w:rsidRDefault="00180CEE" w:rsidP="00F2210D">
      <w:pPr>
        <w:pStyle w:val="DHHSbullet1"/>
        <w:spacing w:after="140" w:line="300" w:lineRule="atLeast"/>
        <w:ind w:left="567" w:hanging="567"/>
        <w:rPr>
          <w:rFonts w:ascii="Gill Sans MT" w:hAnsi="Gill Sans MT" w:cs="Arial"/>
          <w:sz w:val="22"/>
          <w:szCs w:val="22"/>
        </w:rPr>
      </w:pP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in the Australian context</w:t>
      </w:r>
    </w:p>
    <w:p w:rsidR="00180CEE" w:rsidRPr="00F2210D" w:rsidRDefault="00180CEE" w:rsidP="00F2210D">
      <w:pPr>
        <w:pStyle w:val="DHHSbullet1"/>
        <w:spacing w:after="140" w:line="300" w:lineRule="atLeast"/>
        <w:ind w:left="567" w:hanging="567"/>
        <w:rPr>
          <w:rFonts w:ascii="Gill Sans MT" w:hAnsi="Gill Sans MT" w:cs="Arial"/>
          <w:sz w:val="22"/>
          <w:szCs w:val="22"/>
        </w:rPr>
      </w:pPr>
      <w:r w:rsidRPr="00F2210D">
        <w:rPr>
          <w:rFonts w:ascii="Gill Sans MT" w:hAnsi="Gill Sans MT" w:cs="Arial"/>
          <w:sz w:val="22"/>
          <w:szCs w:val="22"/>
        </w:rPr>
        <w:t>links to clinical guidance</w:t>
      </w:r>
    </w:p>
    <w:p w:rsidR="00180CEE" w:rsidRPr="00F2210D" w:rsidRDefault="00180CEE" w:rsidP="00F2210D">
      <w:pPr>
        <w:pStyle w:val="DHHSbullet1"/>
        <w:spacing w:after="140" w:line="300" w:lineRule="atLeast"/>
        <w:ind w:left="567" w:hanging="567"/>
        <w:rPr>
          <w:rFonts w:ascii="Gill Sans MT" w:hAnsi="Gill Sans MT" w:cs="Arial"/>
          <w:sz w:val="22"/>
          <w:szCs w:val="22"/>
        </w:rPr>
      </w:pPr>
      <w:r w:rsidRPr="00F2210D">
        <w:rPr>
          <w:rFonts w:ascii="Gill Sans MT" w:hAnsi="Gill Sans MT" w:cs="Arial"/>
          <w:sz w:val="22"/>
          <w:szCs w:val="22"/>
        </w:rPr>
        <w:t xml:space="preserve">a guide to accessing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 xml:space="preserve"> for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in Australia</w:t>
      </w:r>
    </w:p>
    <w:p w:rsidR="00180CEE" w:rsidRPr="00F2210D" w:rsidRDefault="00180CEE" w:rsidP="00F2210D">
      <w:pPr>
        <w:pStyle w:val="DHHSbullet1"/>
        <w:spacing w:after="140" w:line="300" w:lineRule="atLeast"/>
        <w:ind w:left="567" w:hanging="567"/>
        <w:rPr>
          <w:rFonts w:ascii="Gill Sans MT" w:hAnsi="Gill Sans MT" w:cs="Arial"/>
          <w:sz w:val="22"/>
          <w:szCs w:val="22"/>
        </w:rPr>
      </w:pPr>
      <w:r w:rsidRPr="00F2210D">
        <w:rPr>
          <w:rFonts w:ascii="Gill Sans MT" w:hAnsi="Gill Sans MT" w:cs="Arial"/>
          <w:sz w:val="22"/>
          <w:szCs w:val="22"/>
        </w:rPr>
        <w:t xml:space="preserve">behavioural risk assessment and eligibility criteria for </w:t>
      </w:r>
      <w:proofErr w:type="spellStart"/>
      <w:r w:rsidRPr="00F2210D">
        <w:rPr>
          <w:rFonts w:ascii="Gill Sans MT" w:hAnsi="Gill Sans MT" w:cs="Arial"/>
          <w:sz w:val="22"/>
          <w:szCs w:val="22"/>
        </w:rPr>
        <w:t>PrEP</w:t>
      </w:r>
      <w:proofErr w:type="spellEnd"/>
    </w:p>
    <w:p w:rsidR="00180CEE" w:rsidRPr="00F2210D" w:rsidRDefault="00180CEE" w:rsidP="00F2210D">
      <w:pPr>
        <w:pStyle w:val="DHHSbullet1"/>
        <w:spacing w:after="140" w:line="300" w:lineRule="atLeast"/>
        <w:ind w:left="567" w:hanging="567"/>
        <w:rPr>
          <w:rFonts w:ascii="Gill Sans MT" w:hAnsi="Gill Sans MT" w:cs="Arial"/>
          <w:sz w:val="22"/>
          <w:szCs w:val="22"/>
        </w:rPr>
      </w:pPr>
      <w:proofErr w:type="gramStart"/>
      <w:r w:rsidRPr="00F2210D">
        <w:rPr>
          <w:rFonts w:ascii="Gill Sans MT" w:hAnsi="Gill Sans MT" w:cs="Arial"/>
          <w:sz w:val="22"/>
          <w:szCs w:val="22"/>
        </w:rPr>
        <w:t>patient</w:t>
      </w:r>
      <w:proofErr w:type="gramEnd"/>
      <w:r w:rsidRPr="00F2210D">
        <w:rPr>
          <w:rFonts w:ascii="Gill Sans MT" w:hAnsi="Gill Sans MT" w:cs="Arial"/>
          <w:sz w:val="22"/>
          <w:szCs w:val="22"/>
        </w:rPr>
        <w:t xml:space="preserve"> monitoring and management.</w:t>
      </w:r>
    </w:p>
    <w:p w:rsidR="00180CEE" w:rsidRPr="00F2210D" w:rsidRDefault="00180CEE" w:rsidP="00180CEE">
      <w:pPr>
        <w:pStyle w:val="DHHSbody"/>
        <w:spacing w:after="140" w:line="300" w:lineRule="atLeast"/>
        <w:rPr>
          <w:rFonts w:ascii="Gill Sans MT" w:hAnsi="Gill Sans MT" w:cs="Arial"/>
          <w:sz w:val="22"/>
          <w:szCs w:val="22"/>
          <w:vertAlign w:val="superscript"/>
        </w:rPr>
      </w:pPr>
      <w:r w:rsidRPr="00F2210D">
        <w:rPr>
          <w:rFonts w:ascii="Gill Sans MT" w:hAnsi="Gill Sans MT" w:cs="Arial"/>
          <w:sz w:val="22"/>
          <w:szCs w:val="22"/>
        </w:rPr>
        <w:t xml:space="preserve">In May 2016, the TGA approved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 xml:space="preserve"> for use as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However, as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was not available on the Pharmaceutical Benefits Scheme (PBS), cost was a significant barrier to access. As a more affordable alternative, many consumers utilised the TGA’s Personal Importation Scheme,</w:t>
      </w:r>
      <w:r w:rsidRPr="00F2210D">
        <w:rPr>
          <w:rStyle w:val="EndnoteReference"/>
          <w:rFonts w:ascii="Gill Sans MT" w:hAnsi="Gill Sans MT" w:cs="Arial"/>
          <w:sz w:val="22"/>
          <w:szCs w:val="22"/>
        </w:rPr>
        <w:endnoteReference w:id="9"/>
      </w:r>
      <w:r w:rsidRPr="00F2210D">
        <w:rPr>
          <w:rFonts w:ascii="Gill Sans MT" w:hAnsi="Gill Sans MT" w:cs="Arial"/>
          <w:sz w:val="22"/>
          <w:szCs w:val="22"/>
        </w:rPr>
        <w:t xml:space="preserve"> purchasing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from overseas through the internet with an Australian prescription from their doctors, or participated in one of the clinical trials offered by states and territories.</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February 2018, the Pharmaceutical Benefits Advisory Committee (PBAC) recommended PBS listing for brand-name </w:t>
      </w:r>
      <w:proofErr w:type="spellStart"/>
      <w:r w:rsidRPr="00F2210D">
        <w:rPr>
          <w:rFonts w:ascii="Gill Sans MT" w:hAnsi="Gill Sans MT" w:cs="Arial"/>
          <w:sz w:val="22"/>
          <w:szCs w:val="22"/>
        </w:rPr>
        <w:t>Truvada</w:t>
      </w:r>
      <w:proofErr w:type="spellEnd"/>
      <w:r w:rsidRPr="00F2210D">
        <w:rPr>
          <w:rFonts w:ascii="Gill Sans MT" w:hAnsi="Gill Sans MT" w:cs="Arial"/>
          <w:sz w:val="22"/>
          <w:szCs w:val="22"/>
        </w:rPr>
        <w:t xml:space="preserve"> and two generic formulations, produced by Mylan </w:t>
      </w:r>
      <w:proofErr w:type="spellStart"/>
      <w:r w:rsidRPr="00F2210D">
        <w:rPr>
          <w:rFonts w:ascii="Gill Sans MT" w:hAnsi="Gill Sans MT" w:cs="Arial"/>
          <w:sz w:val="22"/>
          <w:szCs w:val="22"/>
        </w:rPr>
        <w:t>Alphapharm</w:t>
      </w:r>
      <w:proofErr w:type="spellEnd"/>
      <w:r w:rsidRPr="00F2210D">
        <w:rPr>
          <w:rFonts w:ascii="Gill Sans MT" w:hAnsi="Gill Sans MT" w:cs="Arial"/>
          <w:sz w:val="22"/>
          <w:szCs w:val="22"/>
        </w:rPr>
        <w:t xml:space="preserve"> and Generic Health/Lupin Pharmaceuticals, respectively.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became available on the PBS on 1 April 2018 for all individuals at medium to high risk of HIV.</w:t>
      </w:r>
    </w:p>
    <w:p w:rsidR="00180CEE" w:rsidRPr="00180CEE" w:rsidRDefault="00180CEE" w:rsidP="00180CEE">
      <w:pPr>
        <w:pStyle w:val="Heading2"/>
        <w:spacing w:before="0" w:after="140" w:line="300" w:lineRule="atLeast"/>
        <w:rPr>
          <w:rFonts w:ascii="Gill Sans MT" w:hAnsi="Gill Sans MT" w:cs="Arial"/>
        </w:rPr>
      </w:pPr>
      <w:bookmarkStart w:id="5" w:name="_Toc511722693"/>
      <w:r w:rsidRPr="00180CEE">
        <w:rPr>
          <w:rFonts w:ascii="Gill Sans MT" w:hAnsi="Gill Sans MT" w:cs="Arial"/>
        </w:rPr>
        <w:t>Undetectable viral load (UVL) and treatment as prevention (</w:t>
      </w:r>
      <w:proofErr w:type="spellStart"/>
      <w:r w:rsidRPr="00180CEE">
        <w:rPr>
          <w:rFonts w:ascii="Gill Sans MT" w:hAnsi="Gill Sans MT" w:cs="Arial"/>
        </w:rPr>
        <w:t>TasP</w:t>
      </w:r>
      <w:proofErr w:type="spellEnd"/>
      <w:r w:rsidRPr="00180CEE">
        <w:rPr>
          <w:rFonts w:ascii="Gill Sans MT" w:hAnsi="Gill Sans MT" w:cs="Arial"/>
        </w:rPr>
        <w:t>)</w:t>
      </w:r>
      <w:bookmarkEnd w:id="5"/>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Viral load is a key factor in the transmission of HIV. Antiretroviral medications (ARVs) used in the treatment and management of HIV infection inhibit the replication of HIV. Adherence to antiretroviral treatment (ART) can lower and suppress HIV viral load to undetectable levels, reducing the risk of HIV transmission to almost zero.</w:t>
      </w:r>
      <w:r w:rsidRPr="00F2210D">
        <w:rPr>
          <w:rStyle w:val="EndnoteReference"/>
          <w:rFonts w:ascii="Gill Sans MT" w:hAnsi="Gill Sans MT" w:cs="Arial"/>
          <w:sz w:val="22"/>
          <w:szCs w:val="22"/>
        </w:rPr>
        <w:endnoteReference w:id="10"/>
      </w:r>
      <w:r w:rsidRPr="00F2210D">
        <w:rPr>
          <w:rFonts w:ascii="Gill Sans MT" w:hAnsi="Gill Sans MT" w:cs="Arial"/>
          <w:sz w:val="22"/>
          <w:szCs w:val="22"/>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The use of ART in HIV-positive people to reduce the risk of onwards HIV transmission, is often referred to as </w:t>
      </w:r>
      <w:r w:rsidRPr="00F2210D">
        <w:rPr>
          <w:rFonts w:ascii="Gill Sans MT" w:hAnsi="Gill Sans MT" w:cs="Arial"/>
          <w:i/>
          <w:sz w:val="22"/>
          <w:szCs w:val="22"/>
        </w:rPr>
        <w:t>treatment as prevention</w:t>
      </w:r>
      <w:r w:rsidRPr="00F2210D">
        <w:rPr>
          <w:rFonts w:ascii="Gill Sans MT" w:hAnsi="Gill Sans MT" w:cs="Arial"/>
          <w:sz w:val="22"/>
          <w:szCs w:val="22"/>
        </w:rPr>
        <w:t xml:space="preserve"> or </w:t>
      </w:r>
      <w:proofErr w:type="spellStart"/>
      <w:r w:rsidRPr="00F2210D">
        <w:rPr>
          <w:rFonts w:ascii="Gill Sans MT" w:hAnsi="Gill Sans MT" w:cs="Arial"/>
          <w:sz w:val="22"/>
          <w:szCs w:val="22"/>
        </w:rPr>
        <w:t>TasP</w:t>
      </w:r>
      <w:proofErr w:type="spellEnd"/>
      <w:r w:rsidRPr="00F2210D">
        <w:rPr>
          <w:rFonts w:ascii="Gill Sans MT" w:hAnsi="Gill Sans MT" w:cs="Arial"/>
          <w:sz w:val="22"/>
          <w:szCs w:val="22"/>
        </w:rPr>
        <w:t xml:space="preserve">. When people living with HIV are on effective treatments they can achieve an undetectable viral load, meaning the amount of virus in their body is extremely low. Evidence indicates that when a person is undetectable, they are </w:t>
      </w:r>
      <w:proofErr w:type="spellStart"/>
      <w:r w:rsidRPr="00F2210D">
        <w:rPr>
          <w:rFonts w:ascii="Gill Sans MT" w:hAnsi="Gill Sans MT" w:cs="Arial"/>
          <w:sz w:val="22"/>
          <w:szCs w:val="22"/>
        </w:rPr>
        <w:t>uninfectious</w:t>
      </w:r>
      <w:proofErr w:type="spellEnd"/>
      <w:r w:rsidRPr="00F2210D">
        <w:rPr>
          <w:rFonts w:ascii="Gill Sans MT" w:hAnsi="Gill Sans MT" w:cs="Arial"/>
          <w:sz w:val="22"/>
          <w:szCs w:val="22"/>
        </w:rPr>
        <w:t>, and cannot transmit the virus.</w:t>
      </w:r>
      <w:r w:rsidRPr="00F2210D">
        <w:rPr>
          <w:rStyle w:val="EndnoteReference"/>
          <w:rFonts w:ascii="Gill Sans MT" w:hAnsi="Gill Sans MT" w:cs="Arial"/>
          <w:sz w:val="22"/>
          <w:szCs w:val="22"/>
        </w:rPr>
        <w:endnoteReference w:id="11"/>
      </w:r>
      <w:proofErr w:type="gramStart"/>
      <w:r w:rsidRPr="00F2210D">
        <w:rPr>
          <w:rFonts w:ascii="Gill Sans MT" w:hAnsi="Gill Sans MT" w:cs="Arial"/>
          <w:sz w:val="22"/>
          <w:szCs w:val="22"/>
          <w:vertAlign w:val="superscript"/>
        </w:rPr>
        <w:t xml:space="preserve">, </w:t>
      </w:r>
      <w:proofErr w:type="gramEnd"/>
      <w:r w:rsidRPr="00F2210D">
        <w:rPr>
          <w:rStyle w:val="EndnoteReference"/>
          <w:rFonts w:ascii="Gill Sans MT" w:hAnsi="Gill Sans MT" w:cs="Arial"/>
          <w:sz w:val="22"/>
          <w:szCs w:val="22"/>
        </w:rPr>
        <w:endnoteReference w:id="12"/>
      </w:r>
      <w:r w:rsidRPr="00F2210D">
        <w:rPr>
          <w:rFonts w:ascii="Gill Sans MT" w:hAnsi="Gill Sans MT" w:cs="Arial"/>
          <w:sz w:val="22"/>
          <w:szCs w:val="22"/>
          <w:vertAlign w:val="superscript"/>
        </w:rPr>
        <w:t xml:space="preserve">, </w:t>
      </w:r>
      <w:r w:rsidRPr="00F2210D">
        <w:rPr>
          <w:rStyle w:val="EndnoteReference"/>
          <w:rFonts w:ascii="Gill Sans MT" w:hAnsi="Gill Sans MT" w:cs="Arial"/>
          <w:sz w:val="22"/>
          <w:szCs w:val="22"/>
        </w:rPr>
        <w:endnoteReference w:id="13"/>
      </w:r>
      <w:r w:rsidRPr="00F2210D">
        <w:rPr>
          <w:rFonts w:ascii="Gill Sans MT" w:hAnsi="Gill Sans MT" w:cs="Arial"/>
          <w:sz w:val="22"/>
          <w:szCs w:val="22"/>
        </w:rPr>
        <w:t xml:space="preserve">  </w:t>
      </w:r>
    </w:p>
    <w:p w:rsidR="00180CEE" w:rsidRPr="00180CEE" w:rsidRDefault="00180CEE" w:rsidP="00180CEE">
      <w:pPr>
        <w:pStyle w:val="Heading2"/>
        <w:spacing w:before="0" w:after="140" w:line="300" w:lineRule="atLeast"/>
        <w:rPr>
          <w:rFonts w:ascii="Gill Sans MT" w:hAnsi="Gill Sans MT" w:cs="Arial"/>
        </w:rPr>
      </w:pPr>
      <w:bookmarkStart w:id="6" w:name="_Toc511722694"/>
      <w:r w:rsidRPr="00180CEE">
        <w:rPr>
          <w:rFonts w:ascii="Gill Sans MT" w:hAnsi="Gill Sans MT" w:cs="Arial"/>
        </w:rPr>
        <w:t>Post-exposure prophylaxis (PEP)</w:t>
      </w:r>
      <w:bookmarkEnd w:id="6"/>
    </w:p>
    <w:p w:rsidR="00180CEE" w:rsidRPr="00F2210D" w:rsidRDefault="00180CEE" w:rsidP="00180CEE">
      <w:pPr>
        <w:pStyle w:val="DHHSbody"/>
        <w:spacing w:after="140" w:line="300" w:lineRule="atLeast"/>
        <w:rPr>
          <w:rFonts w:ascii="Gill Sans MT" w:hAnsi="Gill Sans MT" w:cs="Arial"/>
          <w:sz w:val="22"/>
          <w:szCs w:val="22"/>
          <w:vertAlign w:val="superscript"/>
        </w:rPr>
      </w:pPr>
      <w:r w:rsidRPr="00F2210D">
        <w:rPr>
          <w:rFonts w:ascii="Gill Sans MT" w:hAnsi="Gill Sans MT" w:cs="Arial"/>
          <w:sz w:val="22"/>
          <w:szCs w:val="22"/>
        </w:rPr>
        <w:t>Post-exposure prophylaxis (PEP) is the use of one or more antiretroviral drugs to reduce the risk of transmission of HIV, following a known or possible exposure to HIV. Patients who have had a recent HIV exposure (within 72 hours) are normally assessed for non-occupational post-exposure prophylaxis (NPEP).</w:t>
      </w:r>
      <w:r w:rsidRPr="00F2210D">
        <w:rPr>
          <w:rStyle w:val="EndnoteReference"/>
          <w:rFonts w:ascii="Gill Sans MT" w:hAnsi="Gill Sans MT" w:cs="Arial"/>
          <w:sz w:val="22"/>
          <w:szCs w:val="22"/>
        </w:rPr>
        <w:endnoteReference w:id="14"/>
      </w:r>
      <w:r w:rsidRPr="00F2210D">
        <w:rPr>
          <w:rFonts w:ascii="Gill Sans MT" w:hAnsi="Gill Sans MT" w:cs="Arial"/>
          <w:sz w:val="22"/>
          <w:szCs w:val="22"/>
          <w:vertAlign w:val="superscript"/>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lastRenderedPageBreak/>
        <w:t xml:space="preserve">For patients who repeatedly present for PEP,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is recommended.  More information is available from the Clinic 60 Hobart (03) 6166</w:t>
      </w:r>
      <w:r w:rsidR="00F2210D">
        <w:rPr>
          <w:rFonts w:ascii="Gill Sans MT" w:hAnsi="Gill Sans MT" w:cs="Arial"/>
          <w:sz w:val="22"/>
          <w:szCs w:val="22"/>
        </w:rPr>
        <w:t xml:space="preserve"> </w:t>
      </w:r>
      <w:r w:rsidRPr="00F2210D">
        <w:rPr>
          <w:rFonts w:ascii="Gill Sans MT" w:hAnsi="Gill Sans MT" w:cs="Arial"/>
          <w:sz w:val="22"/>
          <w:szCs w:val="22"/>
        </w:rPr>
        <w:t xml:space="preserve">2672 or Clinic 34 Launceston </w:t>
      </w:r>
      <w:r w:rsidR="00F2210D">
        <w:rPr>
          <w:rFonts w:ascii="Gill Sans MT" w:hAnsi="Gill Sans MT" w:cs="Arial"/>
          <w:sz w:val="22"/>
          <w:szCs w:val="22"/>
        </w:rPr>
        <w:t xml:space="preserve">(03) </w:t>
      </w:r>
      <w:r w:rsidRPr="00F2210D">
        <w:rPr>
          <w:rFonts w:ascii="Gill Sans MT" w:hAnsi="Gill Sans MT" w:cs="Arial"/>
          <w:sz w:val="22"/>
          <w:szCs w:val="22"/>
        </w:rPr>
        <w:t>6777 1371 (Sexual Health Service)</w:t>
      </w:r>
    </w:p>
    <w:p w:rsidR="00180CEE" w:rsidRPr="00180CEE" w:rsidRDefault="00180CEE" w:rsidP="00180CEE">
      <w:pPr>
        <w:pStyle w:val="Heading1"/>
        <w:spacing w:before="0" w:after="140" w:line="300" w:lineRule="atLeast"/>
        <w:rPr>
          <w:rFonts w:ascii="Gill Sans MT" w:hAnsi="Gill Sans MT" w:cs="Arial"/>
        </w:rPr>
      </w:pPr>
      <w:bookmarkStart w:id="7" w:name="_Toc511722695"/>
      <w:r w:rsidRPr="00180CEE">
        <w:rPr>
          <w:rFonts w:ascii="Gill Sans MT" w:hAnsi="Gill Sans MT" w:cs="Arial"/>
        </w:rPr>
        <w:t>3.</w:t>
      </w:r>
      <w:r w:rsidRPr="00180CEE">
        <w:rPr>
          <w:rFonts w:ascii="Gill Sans MT" w:hAnsi="Gill Sans MT" w:cs="Arial"/>
        </w:rPr>
        <w:tab/>
        <w:t xml:space="preserve">Accessing </w:t>
      </w:r>
      <w:proofErr w:type="spellStart"/>
      <w:r w:rsidRPr="00180CEE">
        <w:rPr>
          <w:rFonts w:ascii="Gill Sans MT" w:hAnsi="Gill Sans MT" w:cs="Arial"/>
        </w:rPr>
        <w:t>PrEP</w:t>
      </w:r>
      <w:proofErr w:type="spellEnd"/>
      <w:r w:rsidRPr="00180CEE">
        <w:rPr>
          <w:rFonts w:ascii="Gill Sans MT" w:hAnsi="Gill Sans MT" w:cs="Arial"/>
        </w:rPr>
        <w:t xml:space="preserve"> in Tasmania</w:t>
      </w:r>
      <w:bookmarkEnd w:id="7"/>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In recognition of clinical evidence on the efficacy of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the Victorian Government, in conjunction with Alfred Health and the Victorian AIDS Council, established a public health research study known as </w:t>
      </w:r>
      <w:proofErr w:type="spellStart"/>
      <w:r w:rsidRPr="00F2210D">
        <w:rPr>
          <w:rFonts w:ascii="Gill Sans MT" w:hAnsi="Gill Sans MT" w:cs="Arial"/>
          <w:sz w:val="22"/>
          <w:szCs w:val="22"/>
        </w:rPr>
        <w:t>PrEPX</w:t>
      </w:r>
      <w:proofErr w:type="spellEnd"/>
      <w:r w:rsidRPr="00F2210D">
        <w:rPr>
          <w:rFonts w:ascii="Gill Sans MT" w:hAnsi="Gill Sans MT" w:cs="Arial"/>
          <w:sz w:val="22"/>
          <w:szCs w:val="22"/>
        </w:rPr>
        <w:t xml:space="preserve">. </w:t>
      </w:r>
      <w:proofErr w:type="spellStart"/>
      <w:r w:rsidRPr="00F2210D">
        <w:rPr>
          <w:rFonts w:ascii="Gill Sans MT" w:hAnsi="Gill Sans MT" w:cs="Arial"/>
          <w:sz w:val="22"/>
          <w:szCs w:val="22"/>
        </w:rPr>
        <w:t>PrEPX</w:t>
      </w:r>
      <w:proofErr w:type="spellEnd"/>
      <w:r w:rsidRPr="00F2210D">
        <w:rPr>
          <w:rFonts w:ascii="Gill Sans MT" w:hAnsi="Gill Sans MT" w:cs="Arial"/>
          <w:sz w:val="22"/>
          <w:szCs w:val="22"/>
        </w:rPr>
        <w:t xml:space="preserve"> sought to decrease new transmissions of HIV by expanding access to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for Victorians at high risk of HIV. Tasmanians benefited from being involved in this trial (</w:t>
      </w:r>
      <w:proofErr w:type="spellStart"/>
      <w:r w:rsidRPr="00F2210D">
        <w:rPr>
          <w:rFonts w:ascii="Gill Sans MT" w:hAnsi="Gill Sans MT" w:cs="Arial"/>
          <w:sz w:val="22"/>
          <w:szCs w:val="22"/>
        </w:rPr>
        <w:t>PrEPX-Tas</w:t>
      </w:r>
      <w:proofErr w:type="spellEnd"/>
      <w:r w:rsidRPr="00F2210D">
        <w:rPr>
          <w:rFonts w:ascii="Gill Sans MT" w:hAnsi="Gill Sans MT" w:cs="Arial"/>
          <w:sz w:val="22"/>
          <w:szCs w:val="22"/>
        </w:rPr>
        <w:t xml:space="preserve">). The study commenced in July 2016, and ended on 31 March 2018. With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available on the PBS from 1 April 2018, people who hold a Medicare card are able to access their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care and medications from their usual general practitioner and community pharmacy.</w:t>
      </w:r>
    </w:p>
    <w:p w:rsidR="00180CEE" w:rsidRPr="00180CEE" w:rsidRDefault="00180CEE" w:rsidP="00180CEE">
      <w:pPr>
        <w:pStyle w:val="Heading2"/>
        <w:spacing w:before="0" w:after="140" w:line="300" w:lineRule="atLeast"/>
        <w:rPr>
          <w:rFonts w:ascii="Gill Sans MT" w:hAnsi="Gill Sans MT"/>
        </w:rPr>
      </w:pPr>
      <w:bookmarkStart w:id="8" w:name="_Toc511722696"/>
      <w:r w:rsidRPr="00180CEE">
        <w:rPr>
          <w:rFonts w:ascii="Gill Sans MT" w:hAnsi="Gill Sans MT"/>
        </w:rPr>
        <w:t>Access for people ineligible for Medicare</w:t>
      </w:r>
      <w:bookmarkEnd w:id="8"/>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People who are ineligible for Medicare can access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by requesting a prescription from an Australian medical practitioner, then ordering a three month supply of generic </w:t>
      </w:r>
      <w:proofErr w:type="spellStart"/>
      <w:r w:rsidRPr="00F2210D">
        <w:rPr>
          <w:rFonts w:ascii="Gill Sans MT" w:hAnsi="Gill Sans MT" w:cs="Arial"/>
          <w:sz w:val="22"/>
          <w:szCs w:val="22"/>
        </w:rPr>
        <w:t>tenofovir</w:t>
      </w:r>
      <w:proofErr w:type="spellEnd"/>
      <w:r w:rsidRPr="00F2210D">
        <w:rPr>
          <w:rFonts w:ascii="Gill Sans MT" w:hAnsi="Gill Sans MT" w:cs="Arial"/>
          <w:sz w:val="22"/>
          <w:szCs w:val="22"/>
        </w:rPr>
        <w:t xml:space="preserve"> with </w:t>
      </w:r>
      <w:proofErr w:type="spellStart"/>
      <w:r w:rsidRPr="00F2210D">
        <w:rPr>
          <w:rFonts w:ascii="Gill Sans MT" w:hAnsi="Gill Sans MT" w:cs="Arial"/>
          <w:sz w:val="22"/>
          <w:szCs w:val="22"/>
        </w:rPr>
        <w:t>emtricitabine</w:t>
      </w:r>
      <w:proofErr w:type="spellEnd"/>
      <w:r w:rsidRPr="00F2210D">
        <w:rPr>
          <w:rFonts w:ascii="Gill Sans MT" w:hAnsi="Gill Sans MT" w:cs="Arial"/>
          <w:sz w:val="22"/>
          <w:szCs w:val="22"/>
        </w:rPr>
        <w:t xml:space="preserve"> over the internet, and importing these </w:t>
      </w:r>
      <w:proofErr w:type="spellStart"/>
      <w:r w:rsidRPr="00F2210D">
        <w:rPr>
          <w:rFonts w:ascii="Gill Sans MT" w:hAnsi="Gill Sans MT" w:cs="Arial"/>
          <w:sz w:val="22"/>
          <w:szCs w:val="22"/>
        </w:rPr>
        <w:t>antiretrovirals</w:t>
      </w:r>
      <w:proofErr w:type="spellEnd"/>
      <w:r w:rsidRPr="00F2210D">
        <w:rPr>
          <w:rFonts w:ascii="Gill Sans MT" w:hAnsi="Gill Sans MT" w:cs="Arial"/>
          <w:sz w:val="22"/>
          <w:szCs w:val="22"/>
        </w:rPr>
        <w:t xml:space="preserve"> under the TGA Personal Importation Scheme</w:t>
      </w:r>
      <w:r w:rsidRPr="00F2210D">
        <w:rPr>
          <w:rStyle w:val="EndnoteReference"/>
          <w:rFonts w:ascii="Gill Sans MT" w:hAnsi="Gill Sans MT" w:cs="Arial"/>
          <w:sz w:val="22"/>
          <w:szCs w:val="22"/>
        </w:rPr>
        <w:endnoteReference w:id="15"/>
      </w:r>
      <w:r w:rsidRPr="00F2210D">
        <w:rPr>
          <w:rFonts w:ascii="Gill Sans MT" w:hAnsi="Gill Sans MT" w:cs="Arial"/>
          <w:sz w:val="22"/>
          <w:szCs w:val="22"/>
        </w:rPr>
        <w:t xml:space="preserve"> Some pharmaceutical companies may also offer compassionate access schemes for people unable to access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through Medicare.</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Under the Personal Importation Scheme, the patient is the ‘personal importer’ and they accept that the quality, safety, and efficacy of the generic formulation may be unknown, and are prepared to accept any risks associated with taking the medication. With a number of different websites selling pharmaceuticals online, regulation and checks on the type of prescription sent, or re-use of prescriptions, is varied and beyond the control of the issuing medical practitioner.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Several community groups offer guidance and support to people who want to import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from overseas: </w:t>
      </w:r>
      <w:proofErr w:type="spellStart"/>
      <w:r w:rsidRPr="00F2210D">
        <w:rPr>
          <w:rFonts w:ascii="Gill Sans MT" w:hAnsi="Gill Sans MT" w:cs="Arial"/>
          <w:sz w:val="22"/>
          <w:szCs w:val="22"/>
        </w:rPr>
        <w:t>PrEPaccessNOW</w:t>
      </w:r>
      <w:proofErr w:type="spellEnd"/>
      <w:r w:rsidRPr="00F2210D">
        <w:rPr>
          <w:rFonts w:ascii="Gill Sans MT" w:hAnsi="Gill Sans MT" w:cs="Arial"/>
          <w:sz w:val="22"/>
          <w:szCs w:val="22"/>
        </w:rPr>
        <w:t xml:space="preserve"> (PAN), and </w:t>
      </w:r>
      <w:proofErr w:type="spellStart"/>
      <w:r w:rsidRPr="00F2210D">
        <w:rPr>
          <w:rFonts w:ascii="Gill Sans MT" w:hAnsi="Gill Sans MT" w:cs="Arial"/>
          <w:sz w:val="22"/>
          <w:szCs w:val="22"/>
        </w:rPr>
        <w:t>PrEP’d</w:t>
      </w:r>
      <w:proofErr w:type="spellEnd"/>
      <w:r w:rsidRPr="00F2210D">
        <w:rPr>
          <w:rFonts w:ascii="Gill Sans MT" w:hAnsi="Gill Sans MT" w:cs="Arial"/>
          <w:sz w:val="22"/>
          <w:szCs w:val="22"/>
        </w:rPr>
        <w:t xml:space="preserve"> for Change They have developed resources for practitioners and patients to help them understand the prescription and importation process.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t xml:space="preserve">For more information on the personal importation of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visit: </w:t>
      </w:r>
      <w:hyperlink r:id="rId16" w:history="1">
        <w:r w:rsidRPr="00F2210D">
          <w:rPr>
            <w:rStyle w:val="Hyperlink"/>
            <w:rFonts w:ascii="Gill Sans MT" w:hAnsi="Gill Sans MT" w:cs="Arial"/>
            <w:sz w:val="22"/>
            <w:szCs w:val="22"/>
          </w:rPr>
          <w:t>www.pan.org.au/get-prep/</w:t>
        </w:r>
      </w:hyperlink>
      <w:r w:rsidRPr="00F2210D">
        <w:rPr>
          <w:rFonts w:ascii="Gill Sans MT" w:hAnsi="Gill Sans MT" w:cs="Arial"/>
          <w:sz w:val="22"/>
          <w:szCs w:val="22"/>
        </w:rPr>
        <w:t xml:space="preserve"> or</w:t>
      </w:r>
      <w:r w:rsidR="00F2210D" w:rsidRPr="00F2210D">
        <w:rPr>
          <w:rFonts w:ascii="Gill Sans MT" w:hAnsi="Gill Sans MT" w:cs="Arial"/>
          <w:sz w:val="22"/>
          <w:szCs w:val="22"/>
        </w:rPr>
        <w:t xml:space="preserve"> </w:t>
      </w:r>
      <w:hyperlink r:id="rId17" w:history="1">
        <w:r w:rsidRPr="00F2210D">
          <w:rPr>
            <w:rStyle w:val="Hyperlink"/>
            <w:rFonts w:ascii="Gill Sans MT" w:hAnsi="Gill Sans MT" w:cs="Arial"/>
            <w:sz w:val="22"/>
            <w:szCs w:val="22"/>
          </w:rPr>
          <w:t>www.prepdforchange.com</w:t>
        </w:r>
      </w:hyperlink>
      <w:r w:rsidRPr="00F2210D">
        <w:rPr>
          <w:rFonts w:ascii="Gill Sans MT" w:hAnsi="Gill Sans MT" w:cs="Arial"/>
          <w:sz w:val="22"/>
          <w:szCs w:val="22"/>
        </w:rPr>
        <w:t xml:space="preserve">. </w:t>
      </w:r>
    </w:p>
    <w:p w:rsidR="00180CEE" w:rsidRPr="00180CEE" w:rsidRDefault="00180CEE" w:rsidP="00180CEE">
      <w:pPr>
        <w:pStyle w:val="Heading1"/>
        <w:spacing w:before="0" w:after="140" w:line="300" w:lineRule="atLeast"/>
        <w:rPr>
          <w:rFonts w:ascii="Gill Sans MT" w:hAnsi="Gill Sans MT" w:cs="Arial"/>
        </w:rPr>
      </w:pPr>
      <w:bookmarkStart w:id="9" w:name="_Toc511722697"/>
      <w:r w:rsidRPr="00180CEE">
        <w:rPr>
          <w:rFonts w:ascii="Gill Sans MT" w:hAnsi="Gill Sans MT" w:cs="Arial"/>
        </w:rPr>
        <w:t>4.</w:t>
      </w:r>
      <w:r w:rsidRPr="00180CEE">
        <w:rPr>
          <w:rFonts w:ascii="Gill Sans MT" w:hAnsi="Gill Sans MT" w:cs="Arial"/>
        </w:rPr>
        <w:tab/>
        <w:t xml:space="preserve">Prescribing </w:t>
      </w:r>
      <w:proofErr w:type="spellStart"/>
      <w:r w:rsidRPr="00180CEE">
        <w:rPr>
          <w:rFonts w:ascii="Gill Sans MT" w:hAnsi="Gill Sans MT" w:cs="Arial"/>
        </w:rPr>
        <w:t>PrEP</w:t>
      </w:r>
      <w:bookmarkEnd w:id="9"/>
      <w:proofErr w:type="spellEnd"/>
      <w:r w:rsidRPr="00180CEE">
        <w:rPr>
          <w:rFonts w:ascii="Gill Sans MT" w:hAnsi="Gill Sans MT" w:cs="Arial"/>
        </w:rPr>
        <w:t xml:space="preserve"> </w:t>
      </w:r>
    </w:p>
    <w:p w:rsidR="00180CEE" w:rsidRPr="00F2210D" w:rsidRDefault="00180CEE" w:rsidP="00180CEE">
      <w:pPr>
        <w:pStyle w:val="DHHSbody"/>
        <w:spacing w:after="140" w:line="300" w:lineRule="atLeast"/>
        <w:rPr>
          <w:rFonts w:ascii="Gill Sans MT" w:hAnsi="Gill Sans MT" w:cs="Arial"/>
          <w:sz w:val="22"/>
          <w:szCs w:val="22"/>
          <w:vertAlign w:val="superscript"/>
        </w:rPr>
      </w:pPr>
      <w:r w:rsidRPr="00F2210D">
        <w:rPr>
          <w:rFonts w:ascii="Gill Sans MT" w:hAnsi="Gill Sans MT" w:cs="Arial"/>
          <w:sz w:val="22"/>
          <w:szCs w:val="22"/>
        </w:rPr>
        <w:t>ASHM has produced the</w:t>
      </w:r>
      <w:r w:rsidRPr="00F2210D">
        <w:rPr>
          <w:rFonts w:ascii="Gill Sans MT" w:hAnsi="Gill Sans MT" w:cs="Arial"/>
          <w:i/>
          <w:sz w:val="22"/>
          <w:szCs w:val="22"/>
        </w:rPr>
        <w:t xml:space="preserve"> 2017 Australasian Society for HIV, Viral Hepatitis and Sexual Health Medicine HIV pre-exposure prophylaxis: clinical guidelines</w:t>
      </w:r>
      <w:r w:rsidRPr="00F2210D">
        <w:rPr>
          <w:rFonts w:ascii="Gill Sans MT" w:hAnsi="Gill Sans MT" w:cs="Arial"/>
          <w:sz w:val="22"/>
          <w:szCs w:val="22"/>
        </w:rPr>
        <w:t xml:space="preserve">. The ASHM guidelines outline behavioural risk and eligibility criteria for men who have sex with men (MSM); heterosexual men and women; </w:t>
      </w:r>
      <w:proofErr w:type="gramStart"/>
      <w:r w:rsidRPr="00F2210D">
        <w:rPr>
          <w:rFonts w:ascii="Gill Sans MT" w:hAnsi="Gill Sans MT" w:cs="Arial"/>
          <w:sz w:val="22"/>
          <w:szCs w:val="22"/>
        </w:rPr>
        <w:t>trans</w:t>
      </w:r>
      <w:proofErr w:type="gramEnd"/>
      <w:r w:rsidRPr="00F2210D">
        <w:rPr>
          <w:rFonts w:ascii="Gill Sans MT" w:hAnsi="Gill Sans MT" w:cs="Arial"/>
          <w:sz w:val="22"/>
          <w:szCs w:val="22"/>
        </w:rPr>
        <w:t xml:space="preserve"> and gender diverse people; and people who inject drugs (PWID).</w:t>
      </w:r>
    </w:p>
    <w:p w:rsidR="00180CEE" w:rsidRPr="00F2210D" w:rsidRDefault="00180CEE" w:rsidP="00180CEE">
      <w:pPr>
        <w:pStyle w:val="DHHSbody"/>
        <w:spacing w:after="140" w:line="300" w:lineRule="atLeast"/>
        <w:rPr>
          <w:rFonts w:ascii="Gill Sans MT" w:hAnsi="Gill Sans MT" w:cs="Arial"/>
          <w:sz w:val="22"/>
          <w:szCs w:val="22"/>
        </w:rPr>
      </w:pP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is recommended for all individuals at high risk of HIV. The ASHM clinical guidelines recommend the prescribers take a case-by-case approach in prescribing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as it may still be indicated in people who fall outside the recommended eligibility criteria. In these situations, clinicians with limited experience in sexual health or management of </w:t>
      </w:r>
      <w:proofErr w:type="spellStart"/>
      <w:r w:rsidRPr="00F2210D">
        <w:rPr>
          <w:rFonts w:ascii="Gill Sans MT" w:hAnsi="Gill Sans MT" w:cs="Arial"/>
          <w:sz w:val="22"/>
          <w:szCs w:val="22"/>
        </w:rPr>
        <w:t>PrEP</w:t>
      </w:r>
      <w:proofErr w:type="spellEnd"/>
      <w:r w:rsidRPr="00F2210D">
        <w:rPr>
          <w:rFonts w:ascii="Gill Sans MT" w:hAnsi="Gill Sans MT" w:cs="Arial"/>
          <w:sz w:val="22"/>
          <w:szCs w:val="22"/>
        </w:rPr>
        <w:t xml:space="preserve"> are encouraged to contact experienced clinicians for further guidance. These guidelines can be downloaded at </w:t>
      </w:r>
      <w:hyperlink r:id="rId18" w:history="1">
        <w:r w:rsidRPr="00F2210D">
          <w:rPr>
            <w:rStyle w:val="Hyperlink"/>
            <w:rFonts w:ascii="Gill Sans MT" w:hAnsi="Gill Sans MT" w:cs="Arial"/>
            <w:sz w:val="22"/>
            <w:szCs w:val="22"/>
          </w:rPr>
          <w:t>http://viruseradication.com/journal-details/Australasian_Society_for_HIV,_Viral_Hepatitis_and_Sexual_Health_Medicine_HIV_pre-exposure_prophylaxis:_clinical_guidelines/</w:t>
        </w:r>
      </w:hyperlink>
      <w:r w:rsidRPr="00F2210D">
        <w:rPr>
          <w:rFonts w:ascii="Gill Sans MT" w:hAnsi="Gill Sans MT" w:cs="Arial"/>
          <w:sz w:val="22"/>
          <w:szCs w:val="22"/>
        </w:rPr>
        <w:t xml:space="preserve"> </w:t>
      </w:r>
    </w:p>
    <w:p w:rsidR="00180CEE" w:rsidRPr="00F2210D" w:rsidRDefault="00180CEE" w:rsidP="00180CEE">
      <w:pPr>
        <w:pStyle w:val="DHHSbody"/>
        <w:spacing w:after="140" w:line="300" w:lineRule="atLeast"/>
        <w:rPr>
          <w:rFonts w:ascii="Gill Sans MT" w:hAnsi="Gill Sans MT" w:cs="Arial"/>
          <w:sz w:val="22"/>
          <w:szCs w:val="22"/>
        </w:rPr>
      </w:pPr>
      <w:r w:rsidRPr="00F2210D">
        <w:rPr>
          <w:rFonts w:ascii="Gill Sans MT" w:hAnsi="Gill Sans MT" w:cs="Arial"/>
          <w:sz w:val="22"/>
          <w:szCs w:val="22"/>
        </w:rPr>
        <w:lastRenderedPageBreak/>
        <w:t>For support or further information please contact the clinicians at Clinic 60 Hobart (03) 6166</w:t>
      </w:r>
      <w:r w:rsidR="00F2210D" w:rsidRPr="00F2210D">
        <w:rPr>
          <w:rFonts w:ascii="Gill Sans MT" w:hAnsi="Gill Sans MT" w:cs="Arial"/>
          <w:sz w:val="22"/>
          <w:szCs w:val="22"/>
        </w:rPr>
        <w:t xml:space="preserve"> </w:t>
      </w:r>
      <w:r w:rsidRPr="00F2210D">
        <w:rPr>
          <w:rFonts w:ascii="Gill Sans MT" w:hAnsi="Gill Sans MT" w:cs="Arial"/>
          <w:sz w:val="22"/>
          <w:szCs w:val="22"/>
        </w:rPr>
        <w:t xml:space="preserve">2672 or Clinic 34 Launceston </w:t>
      </w:r>
      <w:r w:rsidR="00F2210D" w:rsidRPr="00F2210D">
        <w:rPr>
          <w:rFonts w:ascii="Gill Sans MT" w:hAnsi="Gill Sans MT" w:cs="Arial"/>
          <w:sz w:val="22"/>
          <w:szCs w:val="22"/>
        </w:rPr>
        <w:t xml:space="preserve">(03) </w:t>
      </w:r>
      <w:r w:rsidRPr="00F2210D">
        <w:rPr>
          <w:rFonts w:ascii="Gill Sans MT" w:hAnsi="Gill Sans MT" w:cs="Arial"/>
          <w:sz w:val="22"/>
          <w:szCs w:val="22"/>
        </w:rPr>
        <w:t>6777 1371 (Sexual Health Service)</w:t>
      </w:r>
    </w:p>
    <w:p w:rsidR="00180CEE" w:rsidRPr="00121CE5" w:rsidRDefault="00180CEE" w:rsidP="00121CE5">
      <w:pPr>
        <w:pStyle w:val="Heading2"/>
        <w:spacing w:before="0" w:after="140" w:line="300" w:lineRule="atLeast"/>
        <w:rPr>
          <w:rFonts w:ascii="Gill Sans MT" w:hAnsi="Gill Sans MT"/>
        </w:rPr>
      </w:pPr>
      <w:r w:rsidRPr="00121CE5">
        <w:rPr>
          <w:rFonts w:ascii="Gill Sans MT" w:hAnsi="Gill Sans MT"/>
        </w:rPr>
        <w:t xml:space="preserve"> </w:t>
      </w:r>
      <w:bookmarkStart w:id="10" w:name="_Toc511722698"/>
      <w:r w:rsidRPr="00121CE5">
        <w:rPr>
          <w:rFonts w:ascii="Gill Sans MT" w:hAnsi="Gill Sans MT"/>
        </w:rPr>
        <w:t xml:space="preserve">Event-based </w:t>
      </w:r>
      <w:proofErr w:type="spellStart"/>
      <w:r w:rsidRPr="00121CE5">
        <w:rPr>
          <w:rFonts w:ascii="Gill Sans MT" w:hAnsi="Gill Sans MT"/>
        </w:rPr>
        <w:t>PrEP</w:t>
      </w:r>
      <w:proofErr w:type="spellEnd"/>
      <w:r w:rsidRPr="00121CE5">
        <w:rPr>
          <w:rFonts w:ascii="Gill Sans MT" w:hAnsi="Gill Sans MT"/>
        </w:rPr>
        <w:t xml:space="preserve"> dosing</w:t>
      </w:r>
      <w:bookmarkEnd w:id="10"/>
    </w:p>
    <w:p w:rsidR="00180CEE" w:rsidRPr="00121CE5" w:rsidRDefault="00180CEE" w:rsidP="00180CEE">
      <w:pPr>
        <w:pStyle w:val="DHHSbody"/>
        <w:spacing w:after="140" w:line="300" w:lineRule="atLeast"/>
        <w:rPr>
          <w:rStyle w:val="Hyperlink"/>
          <w:rFonts w:ascii="Gill Sans MT" w:hAnsi="Gill Sans MT"/>
          <w:color w:val="auto"/>
          <w:sz w:val="22"/>
          <w:szCs w:val="22"/>
        </w:rPr>
      </w:pPr>
      <w:r w:rsidRPr="00121CE5">
        <w:rPr>
          <w:rFonts w:ascii="Gill Sans MT" w:hAnsi="Gill Sans MT" w:cs="Arial"/>
          <w:sz w:val="22"/>
          <w:szCs w:val="22"/>
        </w:rPr>
        <w:t xml:space="preserve">Some patients may be interested in taking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only around high-risk events, rather than the recommended daily dosing. This is known as event-based or on-demand dosing. The IPERGAY research study found that this dosing was effective at preventing HIV.</w:t>
      </w:r>
      <w:r w:rsidRPr="00121CE5">
        <w:rPr>
          <w:rFonts w:ascii="Gill Sans MT" w:hAnsi="Gill Sans MT" w:cs="Arial"/>
          <w:sz w:val="22"/>
          <w:szCs w:val="22"/>
        </w:rPr>
        <w:endnoteReference w:id="16"/>
      </w:r>
      <w:r w:rsidRPr="00121CE5">
        <w:rPr>
          <w:rFonts w:ascii="Gill Sans MT" w:hAnsi="Gill Sans MT" w:cs="Arial"/>
          <w:sz w:val="22"/>
          <w:szCs w:val="22"/>
        </w:rPr>
        <w:t xml:space="preserve"> As of April 2018, however,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was not approved for event-based dosing in Australia. Daily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dosing is still recommended. ASHM has developed information and guidance around event-based dosing, available at</w:t>
      </w:r>
      <w:r w:rsidRPr="00121CE5">
        <w:rPr>
          <w:rStyle w:val="Hyperlink"/>
          <w:rFonts w:ascii="Gill Sans MT" w:hAnsi="Gill Sans MT"/>
          <w:color w:val="auto"/>
          <w:sz w:val="22"/>
          <w:szCs w:val="22"/>
        </w:rPr>
        <w:t xml:space="preserve"> </w:t>
      </w:r>
      <w:hyperlink r:id="rId19" w:history="1">
        <w:r w:rsidR="00121CE5" w:rsidRPr="00121CE5">
          <w:rPr>
            <w:rStyle w:val="Hyperlink"/>
            <w:rFonts w:ascii="Gill Sans MT" w:hAnsi="Gill Sans MT"/>
            <w:sz w:val="22"/>
            <w:szCs w:val="22"/>
          </w:rPr>
          <w:t>www.ashm.org.au/HIV/PrEP</w:t>
        </w:r>
      </w:hyperlink>
    </w:p>
    <w:p w:rsidR="00180CEE" w:rsidRPr="00180CEE" w:rsidRDefault="00180CEE" w:rsidP="00180CEE">
      <w:pPr>
        <w:pStyle w:val="Heading1"/>
        <w:spacing w:before="0" w:after="140" w:line="300" w:lineRule="atLeast"/>
        <w:rPr>
          <w:rFonts w:ascii="Gill Sans MT" w:hAnsi="Gill Sans MT" w:cs="Arial"/>
        </w:rPr>
      </w:pPr>
      <w:bookmarkStart w:id="11" w:name="_Toc511722699"/>
      <w:r w:rsidRPr="00180CEE">
        <w:rPr>
          <w:rFonts w:ascii="Gill Sans MT" w:hAnsi="Gill Sans MT" w:cs="Arial"/>
        </w:rPr>
        <w:t>5.</w:t>
      </w:r>
      <w:r w:rsidRPr="00180CEE">
        <w:rPr>
          <w:rFonts w:ascii="Gill Sans MT" w:hAnsi="Gill Sans MT" w:cs="Arial"/>
        </w:rPr>
        <w:tab/>
        <w:t>Monitoring sexual health</w:t>
      </w:r>
      <w:bookmarkEnd w:id="11"/>
    </w:p>
    <w:p w:rsidR="00180CEE" w:rsidRPr="00121CE5" w:rsidRDefault="00180CEE" w:rsidP="00180CEE">
      <w:pPr>
        <w:pStyle w:val="DHHSbody"/>
        <w:spacing w:after="140" w:line="300" w:lineRule="atLeast"/>
        <w:rPr>
          <w:rFonts w:ascii="Gill Sans MT" w:hAnsi="Gill Sans MT" w:cs="Arial"/>
          <w:sz w:val="22"/>
          <w:szCs w:val="22"/>
        </w:rPr>
      </w:pPr>
      <w:r w:rsidRPr="00121CE5">
        <w:rPr>
          <w:rFonts w:ascii="Gill Sans MT" w:hAnsi="Gill Sans MT" w:cs="Arial"/>
          <w:sz w:val="22"/>
          <w:szCs w:val="22"/>
        </w:rPr>
        <w:t xml:space="preserve">In Australia, gay and bisexual men (GBM) and men who have sex with men (MSM) are disproportionately affected by sexually transmissible infections (STIs). This is attributed, in part, to changes in sexual behaviour including a decade-long trend increase in </w:t>
      </w:r>
      <w:proofErr w:type="spellStart"/>
      <w:r w:rsidRPr="00121CE5">
        <w:rPr>
          <w:rFonts w:ascii="Gill Sans MT" w:hAnsi="Gill Sans MT" w:cs="Arial"/>
          <w:sz w:val="22"/>
          <w:szCs w:val="22"/>
        </w:rPr>
        <w:t>condomless</w:t>
      </w:r>
      <w:proofErr w:type="spellEnd"/>
      <w:r w:rsidRPr="00121CE5">
        <w:rPr>
          <w:rFonts w:ascii="Gill Sans MT" w:hAnsi="Gill Sans MT" w:cs="Arial"/>
          <w:sz w:val="22"/>
          <w:szCs w:val="22"/>
        </w:rPr>
        <w:t xml:space="preserve"> anal intercourse with casual partners. As many STIs are asymptomatic, regular and frequent STI testing is important to detect infections that may otherwise remain undiagnosed and untreated. </w:t>
      </w:r>
    </w:p>
    <w:p w:rsidR="00180CEE" w:rsidRPr="00121CE5" w:rsidRDefault="00180CEE" w:rsidP="00180CEE">
      <w:pPr>
        <w:pStyle w:val="DHHSbody"/>
        <w:spacing w:after="140" w:line="300" w:lineRule="atLeast"/>
        <w:rPr>
          <w:rFonts w:ascii="Gill Sans MT" w:hAnsi="Gill Sans MT" w:cs="Arial"/>
          <w:sz w:val="22"/>
          <w:szCs w:val="22"/>
        </w:rPr>
      </w:pPr>
      <w:r w:rsidRPr="00121CE5">
        <w:rPr>
          <w:rFonts w:ascii="Gill Sans MT" w:hAnsi="Gill Sans MT" w:cs="Arial"/>
          <w:sz w:val="22"/>
          <w:szCs w:val="22"/>
        </w:rPr>
        <w:t xml:space="preserve">The Department of Health and Human Services recommends that medical practitioners who prescribe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use this guidance document in conjunction with the Australasian Society for HIV, Viral Hepatitis and Sexual Health Medicine (ASHM) </w:t>
      </w:r>
      <w:r w:rsidRPr="00121CE5">
        <w:rPr>
          <w:rFonts w:ascii="Gill Sans MT" w:hAnsi="Gill Sans MT" w:cs="Arial"/>
          <w:i/>
          <w:sz w:val="22"/>
          <w:szCs w:val="22"/>
        </w:rPr>
        <w:t>HIV pre-exposure prophylaxis: clinical guidelines</w:t>
      </w:r>
      <w:r w:rsidRPr="00121CE5">
        <w:rPr>
          <w:rFonts w:ascii="Gill Sans MT" w:hAnsi="Gill Sans MT" w:cs="Arial"/>
          <w:sz w:val="22"/>
          <w:szCs w:val="22"/>
        </w:rPr>
        <w:t>;</w:t>
      </w:r>
      <w:r w:rsidRPr="00121CE5">
        <w:rPr>
          <w:rFonts w:ascii="Gill Sans MT" w:hAnsi="Gill Sans MT" w:cs="Arial"/>
          <w:sz w:val="22"/>
          <w:szCs w:val="22"/>
          <w:vertAlign w:val="superscript"/>
        </w:rPr>
        <w:t>1</w:t>
      </w:r>
      <w:r w:rsidRPr="00121CE5">
        <w:rPr>
          <w:rFonts w:ascii="Gill Sans MT" w:hAnsi="Gill Sans MT" w:cs="Arial"/>
          <w:sz w:val="22"/>
          <w:szCs w:val="22"/>
        </w:rPr>
        <w:t xml:space="preserve"> and the Sexually Transmissible Infections in Gay Men Action Group’s (STIGMA) </w:t>
      </w:r>
      <w:r w:rsidRPr="00121CE5">
        <w:rPr>
          <w:rFonts w:ascii="Gill Sans MT" w:hAnsi="Gill Sans MT" w:cs="Arial"/>
          <w:i/>
          <w:sz w:val="22"/>
          <w:szCs w:val="22"/>
        </w:rPr>
        <w:t>Australian Sexually Transmitted Infection and HIV Testing Guidelines</w:t>
      </w:r>
      <w:r w:rsidRPr="00121CE5">
        <w:rPr>
          <w:rFonts w:ascii="Gill Sans MT" w:hAnsi="Gill Sans MT" w:cs="Arial"/>
          <w:sz w:val="22"/>
          <w:szCs w:val="22"/>
          <w:vertAlign w:val="superscript"/>
        </w:rPr>
        <w:t>2</w:t>
      </w:r>
      <w:r w:rsidRPr="00121CE5">
        <w:rPr>
          <w:rFonts w:ascii="Gill Sans MT" w:hAnsi="Gill Sans MT" w:cs="Arial"/>
          <w:sz w:val="22"/>
          <w:szCs w:val="22"/>
        </w:rPr>
        <w:t xml:space="preserve"> (Appendix 3) to ensure a high standard of sexual health care when prescribing </w:t>
      </w:r>
      <w:proofErr w:type="spellStart"/>
      <w:r w:rsidRPr="00121CE5">
        <w:rPr>
          <w:rFonts w:ascii="Gill Sans MT" w:hAnsi="Gill Sans MT" w:cs="Arial"/>
          <w:sz w:val="22"/>
          <w:szCs w:val="22"/>
        </w:rPr>
        <w:t>PrEP.</w:t>
      </w:r>
      <w:proofErr w:type="spellEnd"/>
    </w:p>
    <w:p w:rsidR="00180CEE" w:rsidRPr="00180CEE" w:rsidRDefault="00180CEE" w:rsidP="00180CEE">
      <w:pPr>
        <w:pStyle w:val="Heading1"/>
        <w:spacing w:before="0" w:after="140" w:line="300" w:lineRule="atLeast"/>
        <w:rPr>
          <w:rFonts w:ascii="Gill Sans MT" w:hAnsi="Gill Sans MT" w:cs="Arial"/>
          <w:lang w:eastAsia="en-AU"/>
        </w:rPr>
      </w:pPr>
      <w:bookmarkStart w:id="12" w:name="_Toc511722700"/>
      <w:r w:rsidRPr="00180CEE">
        <w:rPr>
          <w:rFonts w:ascii="Gill Sans MT" w:hAnsi="Gill Sans MT" w:cs="Arial"/>
        </w:rPr>
        <w:t>6.</w:t>
      </w:r>
      <w:r w:rsidRPr="00180CEE">
        <w:rPr>
          <w:rFonts w:ascii="Gill Sans MT" w:hAnsi="Gill Sans MT" w:cs="Arial"/>
        </w:rPr>
        <w:tab/>
        <w:t xml:space="preserve">Guiding principles for prescribing </w:t>
      </w:r>
      <w:proofErr w:type="spellStart"/>
      <w:r w:rsidRPr="00180CEE">
        <w:rPr>
          <w:rFonts w:ascii="Gill Sans MT" w:hAnsi="Gill Sans MT" w:cs="Arial"/>
        </w:rPr>
        <w:t>PrEP</w:t>
      </w:r>
      <w:bookmarkEnd w:id="12"/>
      <w:proofErr w:type="spellEnd"/>
      <w:r w:rsidRPr="00180CEE">
        <w:rPr>
          <w:rFonts w:ascii="Gill Sans MT" w:hAnsi="Gill Sans MT" w:cs="Arial"/>
        </w:rPr>
        <w:t xml:space="preserve"> </w:t>
      </w:r>
    </w:p>
    <w:p w:rsidR="00180CEE" w:rsidRPr="00121CE5" w:rsidRDefault="00180CEE" w:rsidP="00121CE5">
      <w:pPr>
        <w:pStyle w:val="DHHSbody"/>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For medical practitioners prescribing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to an HIV-negative patient, there are core guiding principles for developing a patient management plan</w:t>
      </w:r>
      <w:proofErr w:type="gramStart"/>
      <w:r w:rsidRPr="00121CE5">
        <w:rPr>
          <w:rFonts w:ascii="Gill Sans MT" w:hAnsi="Gill Sans MT" w:cs="Arial"/>
          <w:sz w:val="22"/>
          <w:szCs w:val="22"/>
        </w:rPr>
        <w:t>:</w:t>
      </w:r>
      <w:r w:rsidRPr="00121CE5">
        <w:rPr>
          <w:rFonts w:ascii="Gill Sans MT" w:hAnsi="Gill Sans MT" w:cs="Arial"/>
          <w:sz w:val="22"/>
          <w:szCs w:val="22"/>
          <w:vertAlign w:val="superscript"/>
        </w:rPr>
        <w:t>7</w:t>
      </w:r>
      <w:proofErr w:type="gramEnd"/>
      <w:r w:rsidRPr="00121CE5">
        <w:rPr>
          <w:rFonts w:ascii="Gill Sans MT" w:hAnsi="Gill Sans MT" w:cs="Arial"/>
          <w:sz w:val="22"/>
          <w:szCs w:val="22"/>
          <w:vertAlign w:val="superscript"/>
        </w:rPr>
        <w:t xml:space="preserve">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conduct baseline HIV testing and ongoing, three-monthly HIV testing to ensure the patient remains HIV-negative – consider using a recall system to encourage regular testing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ensure the patient understands that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must be taken on a daily basis and support the patient with adherence strategies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ensure that any patient who has receptive anal sex and/or </w:t>
      </w:r>
      <w:proofErr w:type="spellStart"/>
      <w:r w:rsidRPr="00121CE5">
        <w:rPr>
          <w:rFonts w:ascii="Gill Sans MT" w:hAnsi="Gill Sans MT" w:cs="Arial"/>
          <w:sz w:val="22"/>
          <w:szCs w:val="22"/>
        </w:rPr>
        <w:t>insertive</w:t>
      </w:r>
      <w:proofErr w:type="spellEnd"/>
      <w:r w:rsidRPr="00121CE5">
        <w:rPr>
          <w:rFonts w:ascii="Gill Sans MT" w:hAnsi="Gill Sans MT" w:cs="Arial"/>
          <w:sz w:val="22"/>
          <w:szCs w:val="22"/>
        </w:rPr>
        <w:t xml:space="preserve"> penile sex understands that they need to take seven daily doses of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before it is effective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women who have receptive vaginal sex and transgender men who have front hole sex understand that they also need to have taken seven daily doses of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before it is effective</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ensure the patient understands that they should continue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for at least 28 days after their last risk exposure if they wish to stop </w:t>
      </w:r>
      <w:proofErr w:type="spellStart"/>
      <w:r w:rsidRPr="00121CE5">
        <w:rPr>
          <w:rFonts w:ascii="Gill Sans MT" w:hAnsi="Gill Sans MT" w:cs="Arial"/>
          <w:sz w:val="22"/>
          <w:szCs w:val="22"/>
        </w:rPr>
        <w:t>PrEP</w:t>
      </w:r>
      <w:proofErr w:type="spellEnd"/>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ensure the patient understands that condoms should be used to prevent STIs and provide advice, if required, about making condoms more useable for them, and that condoms should be used to prevent HIV infection if the patient misses doses of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 xml:space="preserve">routinely (every three months) screen the patient for STIs, particularly syphilis, gonorrhoea and chlamydia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lastRenderedPageBreak/>
        <w:t xml:space="preserve">routinely (every six months) test the patient’s kidney function </w:t>
      </w:r>
    </w:p>
    <w:p w:rsidR="00180CEE" w:rsidRPr="00121CE5" w:rsidRDefault="00180CEE" w:rsidP="00121CE5">
      <w:pPr>
        <w:pStyle w:val="DHHSbullet1"/>
        <w:spacing w:after="140" w:line="300" w:lineRule="atLeast"/>
        <w:ind w:left="567" w:hanging="567"/>
        <w:rPr>
          <w:rFonts w:ascii="Gill Sans MT" w:hAnsi="Gill Sans MT" w:cs="Arial"/>
          <w:sz w:val="22"/>
          <w:szCs w:val="22"/>
        </w:rPr>
      </w:pPr>
      <w:r w:rsidRPr="00121CE5">
        <w:rPr>
          <w:rFonts w:ascii="Gill Sans MT" w:hAnsi="Gill Sans MT" w:cs="Arial"/>
          <w:sz w:val="22"/>
          <w:szCs w:val="22"/>
        </w:rPr>
        <w:t>ensure the patient understands a maximum of a three-month supply can be provided on one prescription, and it is the patient’s responsibility to ensure that timely appointments are made so that adherence is not interrupted</w:t>
      </w:r>
    </w:p>
    <w:p w:rsidR="00180CEE" w:rsidRPr="00121CE5" w:rsidRDefault="00180CEE" w:rsidP="00121CE5">
      <w:pPr>
        <w:pStyle w:val="DHHSbullet1"/>
        <w:spacing w:after="140" w:line="300" w:lineRule="atLeast"/>
        <w:ind w:left="567" w:hanging="567"/>
        <w:rPr>
          <w:rFonts w:ascii="Gill Sans MT" w:hAnsi="Gill Sans MT" w:cs="Arial"/>
          <w:sz w:val="22"/>
          <w:szCs w:val="22"/>
          <w:lang w:eastAsia="en-AU"/>
        </w:rPr>
      </w:pPr>
      <w:proofErr w:type="gramStart"/>
      <w:r w:rsidRPr="00121CE5">
        <w:rPr>
          <w:rFonts w:ascii="Gill Sans MT" w:hAnsi="Gill Sans MT" w:cs="Arial"/>
          <w:sz w:val="22"/>
          <w:szCs w:val="22"/>
        </w:rPr>
        <w:t>provide</w:t>
      </w:r>
      <w:proofErr w:type="gramEnd"/>
      <w:r w:rsidRPr="00121CE5">
        <w:rPr>
          <w:rFonts w:ascii="Gill Sans MT" w:hAnsi="Gill Sans MT" w:cs="Arial"/>
          <w:sz w:val="22"/>
          <w:szCs w:val="22"/>
        </w:rPr>
        <w:t xml:space="preserve"> new information/evidence on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to the patient in a timely manner.</w:t>
      </w:r>
    </w:p>
    <w:p w:rsidR="00180CEE" w:rsidRPr="00180CEE" w:rsidRDefault="00180CEE" w:rsidP="00180CEE">
      <w:pPr>
        <w:pStyle w:val="Heading1"/>
        <w:spacing w:before="0" w:after="140" w:line="300" w:lineRule="atLeast"/>
        <w:rPr>
          <w:rFonts w:ascii="Gill Sans MT" w:hAnsi="Gill Sans MT" w:cs="Arial"/>
          <w:lang w:eastAsia="en-AU"/>
        </w:rPr>
      </w:pPr>
      <w:bookmarkStart w:id="13" w:name="_Toc511722701"/>
      <w:r w:rsidRPr="00180CEE">
        <w:rPr>
          <w:rFonts w:ascii="Gill Sans MT" w:hAnsi="Gill Sans MT" w:cs="Arial"/>
        </w:rPr>
        <w:t>7.</w:t>
      </w:r>
      <w:r w:rsidRPr="00180CEE">
        <w:rPr>
          <w:rFonts w:ascii="Gill Sans MT" w:hAnsi="Gill Sans MT" w:cs="Arial"/>
        </w:rPr>
        <w:tab/>
        <w:t>Recommended appointment schedule</w:t>
      </w:r>
      <w:bookmarkEnd w:id="13"/>
      <w:r w:rsidRPr="00180CEE">
        <w:rPr>
          <w:rFonts w:ascii="Gill Sans MT" w:hAnsi="Gill Sans MT" w:cs="Arial"/>
        </w:rPr>
        <w:t xml:space="preserve"> </w:t>
      </w:r>
    </w:p>
    <w:p w:rsidR="00180CEE" w:rsidRPr="00121CE5" w:rsidRDefault="00180CEE" w:rsidP="00180CEE">
      <w:pPr>
        <w:pStyle w:val="DHHSbody"/>
        <w:spacing w:after="140" w:line="300" w:lineRule="atLeast"/>
        <w:rPr>
          <w:rFonts w:ascii="Gill Sans MT" w:hAnsi="Gill Sans MT" w:cs="Arial"/>
          <w:sz w:val="22"/>
          <w:szCs w:val="22"/>
        </w:rPr>
      </w:pPr>
      <w:r w:rsidRPr="00121CE5">
        <w:rPr>
          <w:rFonts w:ascii="Gill Sans MT" w:hAnsi="Gill Sans MT" w:cs="Arial"/>
          <w:sz w:val="22"/>
          <w:szCs w:val="22"/>
        </w:rPr>
        <w:t xml:space="preserve">The decision to prescribe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may occur over one or more appointments, with the patient understanding that ongoing monitoring is part of the patient-prescriber agreement to prescribe </w:t>
      </w:r>
      <w:proofErr w:type="spellStart"/>
      <w:r w:rsidRPr="00121CE5">
        <w:rPr>
          <w:rFonts w:ascii="Gill Sans MT" w:hAnsi="Gill Sans MT" w:cs="Arial"/>
          <w:sz w:val="22"/>
          <w:szCs w:val="22"/>
        </w:rPr>
        <w:t>PrEP.</w:t>
      </w:r>
      <w:proofErr w:type="spellEnd"/>
      <w:r w:rsidRPr="00121CE5">
        <w:rPr>
          <w:rFonts w:ascii="Gill Sans MT" w:hAnsi="Gill Sans MT" w:cs="Arial"/>
          <w:sz w:val="22"/>
          <w:szCs w:val="22"/>
        </w:rPr>
        <w:t xml:space="preserve"> An appointment schedule and key recommendations for each appointment are outlined in the table on the following page.</w:t>
      </w:r>
    </w:p>
    <w:p w:rsidR="00180CEE" w:rsidRPr="00180CEE" w:rsidRDefault="00180CEE" w:rsidP="00180CEE">
      <w:pPr>
        <w:pStyle w:val="DHHStablecaption"/>
        <w:spacing w:before="0" w:after="140" w:line="300" w:lineRule="atLeast"/>
        <w:rPr>
          <w:rFonts w:ascii="Gill Sans MT" w:hAnsi="Gill Sans MT" w:cs="Arial"/>
          <w:vertAlign w:val="superscript"/>
          <w:lang w:eastAsia="en-AU"/>
        </w:rPr>
      </w:pPr>
      <w:r w:rsidRPr="00180CEE">
        <w:rPr>
          <w:rFonts w:ascii="Gill Sans MT" w:hAnsi="Gill Sans MT" w:cs="Arial"/>
        </w:rPr>
        <w:br w:type="page"/>
      </w:r>
      <w:r w:rsidRPr="00180CEE">
        <w:rPr>
          <w:rFonts w:ascii="Gill Sans MT" w:hAnsi="Gill Sans MT" w:cs="Arial"/>
          <w:lang w:eastAsia="en-AU"/>
        </w:rPr>
        <w:lastRenderedPageBreak/>
        <w:t xml:space="preserve">Table 1: Appointment schedule and key clinical recommendations </w:t>
      </w:r>
    </w:p>
    <w:tbl>
      <w:tblPr>
        <w:tblW w:w="957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620" w:firstRow="1" w:lastRow="0" w:firstColumn="0" w:lastColumn="0" w:noHBand="1" w:noVBand="1"/>
      </w:tblPr>
      <w:tblGrid>
        <w:gridCol w:w="3184"/>
        <w:gridCol w:w="2027"/>
        <w:gridCol w:w="1418"/>
        <w:gridCol w:w="1417"/>
        <w:gridCol w:w="1533"/>
      </w:tblGrid>
      <w:tr w:rsidR="00180CEE" w:rsidRPr="00180CEE" w:rsidTr="00F2210D">
        <w:trPr>
          <w:tblHeader/>
        </w:trPr>
        <w:tc>
          <w:tcPr>
            <w:tcW w:w="0" w:type="auto"/>
            <w:tcBorders>
              <w:bottom w:val="single" w:sz="4" w:space="0" w:color="999999"/>
            </w:tcBorders>
            <w:shd w:val="clear" w:color="auto" w:fill="004EA8"/>
          </w:tcPr>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Clinical action</w:t>
            </w:r>
          </w:p>
        </w:tc>
        <w:tc>
          <w:tcPr>
            <w:tcW w:w="2027" w:type="dxa"/>
            <w:shd w:val="clear" w:color="auto" w:fill="004EA8"/>
          </w:tcPr>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Initial appointment</w:t>
            </w:r>
          </w:p>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and additional  appointments      (if required)</w:t>
            </w:r>
          </w:p>
        </w:tc>
        <w:tc>
          <w:tcPr>
            <w:tcW w:w="1418" w:type="dxa"/>
            <w:shd w:val="clear" w:color="auto" w:fill="004EA8"/>
          </w:tcPr>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One month follow-up</w:t>
            </w:r>
          </w:p>
        </w:tc>
        <w:tc>
          <w:tcPr>
            <w:tcW w:w="1417" w:type="dxa"/>
            <w:shd w:val="clear" w:color="auto" w:fill="004EA8"/>
          </w:tcPr>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Three months follow-up</w:t>
            </w:r>
          </w:p>
        </w:tc>
        <w:tc>
          <w:tcPr>
            <w:tcW w:w="1533" w:type="dxa"/>
            <w:shd w:val="clear" w:color="auto" w:fill="004EA8"/>
          </w:tcPr>
          <w:p w:rsidR="00180CEE" w:rsidRPr="00180CEE" w:rsidRDefault="00180CEE" w:rsidP="00180CEE">
            <w:pPr>
              <w:pStyle w:val="DHHStablecolhead"/>
              <w:spacing w:before="0" w:after="140" w:line="300" w:lineRule="atLeast"/>
              <w:rPr>
                <w:rFonts w:ascii="Gill Sans MT" w:hAnsi="Gill Sans MT" w:cs="Arial"/>
              </w:rPr>
            </w:pPr>
            <w:r w:rsidRPr="00180CEE">
              <w:rPr>
                <w:rFonts w:ascii="Gill Sans MT" w:hAnsi="Gill Sans MT" w:cs="Arial"/>
              </w:rPr>
              <w:t>Every three months     follow-up appointment</w:t>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information and discussion which includes:</w:t>
            </w:r>
          </w:p>
          <w:p w:rsidR="00180CEE" w:rsidRPr="00180CEE" w:rsidRDefault="00180CEE" w:rsidP="00B74BF0">
            <w:pPr>
              <w:pStyle w:val="DHHStablebullet"/>
              <w:spacing w:before="0" w:after="140" w:line="300" w:lineRule="atLeast"/>
              <w:contextualSpacing/>
              <w:rPr>
                <w:rFonts w:ascii="Gill Sans MT" w:hAnsi="Gill Sans MT" w:cs="Arial"/>
                <w:lang w:eastAsia="en-AU"/>
              </w:rPr>
            </w:pPr>
            <w:r w:rsidRPr="00180CEE">
              <w:rPr>
                <w:rFonts w:ascii="Gill Sans MT" w:hAnsi="Gill Sans MT" w:cs="Arial"/>
                <w:lang w:eastAsia="en-AU"/>
              </w:rPr>
              <w:t xml:space="preserve">information on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and conception/ pregnancy</w:t>
            </w:r>
          </w:p>
          <w:p w:rsidR="00180CEE" w:rsidRPr="00180CEE" w:rsidRDefault="00180CEE" w:rsidP="00B74BF0">
            <w:pPr>
              <w:pStyle w:val="DHHStablebullet"/>
              <w:spacing w:before="0" w:after="140" w:line="300" w:lineRule="atLeast"/>
              <w:contextualSpacing/>
              <w:rPr>
                <w:rFonts w:ascii="Gill Sans MT" w:hAnsi="Gill Sans MT" w:cs="Arial"/>
                <w:lang w:eastAsia="en-AU"/>
              </w:rPr>
            </w:pPr>
            <w:r w:rsidRPr="00180CEE">
              <w:rPr>
                <w:rFonts w:ascii="Gill Sans MT" w:hAnsi="Gill Sans MT" w:cs="Arial"/>
                <w:lang w:eastAsia="en-AU"/>
              </w:rPr>
              <w:t>short and long-term side effects</w:t>
            </w:r>
          </w:p>
          <w:p w:rsidR="00180CEE" w:rsidRPr="00180CEE" w:rsidRDefault="00180CEE" w:rsidP="00B74BF0">
            <w:pPr>
              <w:pStyle w:val="DHHStablebullet"/>
              <w:spacing w:before="0" w:after="140" w:line="300" w:lineRule="atLeast"/>
              <w:contextualSpacing/>
              <w:rPr>
                <w:rFonts w:ascii="Gill Sans MT" w:hAnsi="Gill Sans MT" w:cs="Arial"/>
                <w:lang w:eastAsia="en-AU"/>
              </w:rPr>
            </w:pPr>
            <w:r w:rsidRPr="00180CEE">
              <w:rPr>
                <w:rFonts w:ascii="Gill Sans MT" w:hAnsi="Gill Sans MT" w:cs="Arial"/>
                <w:lang w:eastAsia="en-AU"/>
              </w:rPr>
              <w:t>adherence</w:t>
            </w:r>
          </w:p>
          <w:p w:rsidR="00180CEE" w:rsidRPr="00180CEE" w:rsidRDefault="00180CEE" w:rsidP="00B74BF0">
            <w:pPr>
              <w:pStyle w:val="DHHStablebullet"/>
              <w:spacing w:before="0" w:after="140" w:line="300" w:lineRule="atLeast"/>
              <w:contextualSpacing/>
              <w:rPr>
                <w:rFonts w:ascii="Gill Sans MT" w:hAnsi="Gill Sans MT" w:cs="Arial"/>
                <w:lang w:eastAsia="en-AU"/>
              </w:rPr>
            </w:pPr>
            <w:r w:rsidRPr="00180CEE">
              <w:rPr>
                <w:rFonts w:ascii="Gill Sans MT" w:hAnsi="Gill Sans MT" w:cs="Arial"/>
                <w:lang w:eastAsia="en-AU"/>
              </w:rPr>
              <w:t xml:space="preserve">risk of developing resistance if HIV is acquired </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Behavioural risk assessment</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HIV Ab/Ag combo test</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Assessment of acute HIV infection (&lt; 1 month)</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p w:rsidR="00180CEE" w:rsidRPr="00180CEE" w:rsidRDefault="00180CEE" w:rsidP="00180CEE">
            <w:pPr>
              <w:pStyle w:val="DHHStabletext"/>
              <w:spacing w:before="0" w:after="140" w:line="300" w:lineRule="atLeast"/>
              <w:rPr>
                <w:rFonts w:ascii="Gill Sans MT" w:hAnsi="Gill Sans MT" w:cs="Arial"/>
                <w:lang w:eastAsia="en-AU"/>
              </w:rPr>
            </w:pP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Full STI screen (Appendix 3)</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Hepatitis B test</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Hepatitis C test</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r w:rsidRPr="00180CEE">
              <w:rPr>
                <w:rFonts w:ascii="Gill Sans MT" w:hAnsi="Gill Sans MT" w:cs="Arial"/>
                <w:lang w:eastAsia="en-AU"/>
              </w:rPr>
              <w:t xml:space="preserve"> </w:t>
            </w:r>
            <w:r w:rsidRPr="00180CEE">
              <w:rPr>
                <w:rFonts w:ascii="Gill Sans MT" w:hAnsi="Gill Sans MT" w:cs="Arial"/>
                <w:lang w:eastAsia="en-AU"/>
              </w:rPr>
              <w:br/>
              <w:t>(then 1 x year at minimum)</w:t>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Serum creatinine test</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r w:rsidRPr="00180CEE">
              <w:rPr>
                <w:rFonts w:ascii="Gill Sans MT" w:hAnsi="Gill Sans MT" w:cs="Arial"/>
                <w:lang w:eastAsia="en-AU"/>
              </w:rPr>
              <w:t xml:space="preserve"> </w:t>
            </w:r>
            <w:r w:rsidRPr="00180CEE">
              <w:rPr>
                <w:rFonts w:ascii="Gill Sans MT" w:hAnsi="Gill Sans MT" w:cs="Arial"/>
                <w:lang w:eastAsia="en-AU"/>
              </w:rPr>
              <w:br/>
              <w:t>(then 1 x 6 months)</w:t>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r w:rsidRPr="00180CEE">
              <w:rPr>
                <w:rFonts w:ascii="Gill Sans MT" w:hAnsi="Gill Sans MT" w:cs="Arial"/>
                <w:lang w:eastAsia="en-AU"/>
              </w:rPr>
              <w:t xml:space="preserve"> </w:t>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Communication of test results</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Laboratory screening to determine contra-indications for TDF/FTC</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Assessment of TDF/FTC interaction with existing medications/supplements</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Assessment of side effects</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 xml:space="preserve">60 day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prescription </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 xml:space="preserve">90 day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prescription </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r w:rsidR="00180CEE" w:rsidRPr="00180CEE" w:rsidTr="00F2210D">
        <w:tc>
          <w:tcPr>
            <w:tcW w:w="0" w:type="auto"/>
            <w:shd w:val="clear" w:color="auto" w:fill="CCDCEE"/>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t xml:space="preserve">Adherence counselling/ discussion </w:t>
            </w:r>
          </w:p>
        </w:tc>
        <w:tc>
          <w:tcPr>
            <w:tcW w:w="202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8"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417"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c>
          <w:tcPr>
            <w:tcW w:w="1533" w:type="dxa"/>
            <w:shd w:val="clear" w:color="auto" w:fill="auto"/>
          </w:tcPr>
          <w:p w:rsidR="00180CEE" w:rsidRPr="00180CEE" w:rsidRDefault="00180CEE" w:rsidP="00180CEE">
            <w:pPr>
              <w:pStyle w:val="DHHStabletext"/>
              <w:spacing w:before="0" w:after="140" w:line="300" w:lineRule="atLeast"/>
              <w:rPr>
                <w:rFonts w:ascii="Gill Sans MT" w:hAnsi="Gill Sans MT" w:cs="Arial"/>
                <w:lang w:eastAsia="en-AU"/>
              </w:rPr>
            </w:pPr>
            <w:r w:rsidRPr="00180CEE">
              <w:rPr>
                <w:rFonts w:ascii="Gill Sans MT" w:hAnsi="Gill Sans MT" w:cs="Arial"/>
                <w:lang w:eastAsia="en-AU"/>
              </w:rPr>
              <w:sym w:font="Wingdings" w:char="F0FC"/>
            </w:r>
          </w:p>
        </w:tc>
      </w:tr>
    </w:tbl>
    <w:p w:rsidR="00180CEE" w:rsidRPr="00180CEE" w:rsidRDefault="00180CEE" w:rsidP="00180CEE">
      <w:pPr>
        <w:pStyle w:val="DHHSbody"/>
        <w:spacing w:after="140" w:line="300" w:lineRule="atLeast"/>
        <w:rPr>
          <w:rFonts w:ascii="Gill Sans MT" w:hAnsi="Gill Sans MT" w:cs="Arial"/>
          <w:lang w:eastAsia="en-AU"/>
        </w:rPr>
      </w:pPr>
    </w:p>
    <w:p w:rsidR="00180CEE" w:rsidRPr="00180CEE" w:rsidRDefault="00180CEE" w:rsidP="00180CEE">
      <w:pPr>
        <w:pStyle w:val="Heading1"/>
        <w:spacing w:before="0" w:after="140" w:line="300" w:lineRule="atLeast"/>
        <w:rPr>
          <w:rFonts w:ascii="Gill Sans MT" w:hAnsi="Gill Sans MT" w:cs="Arial"/>
          <w:sz w:val="24"/>
          <w:szCs w:val="24"/>
          <w:lang w:eastAsia="en-AU"/>
        </w:rPr>
      </w:pPr>
      <w:r w:rsidRPr="00180CEE">
        <w:rPr>
          <w:rFonts w:ascii="Gill Sans MT" w:hAnsi="Gill Sans MT" w:cs="Arial"/>
          <w:lang w:eastAsia="en-AU"/>
        </w:rPr>
        <w:br w:type="page"/>
      </w:r>
      <w:bookmarkStart w:id="14" w:name="_Toc511722702"/>
      <w:r w:rsidRPr="00180CEE">
        <w:rPr>
          <w:rFonts w:ascii="Gill Sans MT" w:hAnsi="Gill Sans MT" w:cs="Arial"/>
          <w:lang w:eastAsia="en-AU"/>
        </w:rPr>
        <w:lastRenderedPageBreak/>
        <w:t>8.</w:t>
      </w:r>
      <w:r w:rsidRPr="00180CEE">
        <w:rPr>
          <w:rFonts w:ascii="Gill Sans MT" w:hAnsi="Gill Sans MT" w:cs="Arial"/>
          <w:lang w:eastAsia="en-AU"/>
        </w:rPr>
        <w:tab/>
      </w:r>
      <w:r w:rsidRPr="00180CEE">
        <w:rPr>
          <w:rFonts w:ascii="Gill Sans MT" w:hAnsi="Gill Sans MT" w:cs="Arial"/>
        </w:rPr>
        <w:t>Prescribing information</w:t>
      </w:r>
      <w:bookmarkEnd w:id="14"/>
    </w:p>
    <w:p w:rsidR="00180CEE" w:rsidRPr="00B74BF0" w:rsidRDefault="00180CEE" w:rsidP="00180CEE">
      <w:pPr>
        <w:pStyle w:val="DHHSbody"/>
        <w:spacing w:after="140" w:line="300" w:lineRule="atLeast"/>
        <w:rPr>
          <w:rFonts w:ascii="Gill Sans MT" w:hAnsi="Gill Sans MT" w:cs="Arial"/>
          <w:sz w:val="22"/>
          <w:szCs w:val="22"/>
        </w:rPr>
      </w:pPr>
      <w:r w:rsidRPr="00B74BF0">
        <w:rPr>
          <w:rFonts w:ascii="Gill Sans MT" w:hAnsi="Gill Sans MT" w:cs="Arial"/>
          <w:sz w:val="22"/>
          <w:szCs w:val="22"/>
        </w:rPr>
        <w:t>For further information, medical practitioners should refer to:</w:t>
      </w:r>
    </w:p>
    <w:p w:rsidR="00180CEE" w:rsidRPr="00B74BF0" w:rsidRDefault="00180CEE" w:rsidP="00B74BF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TGA product information documents/Australian Register of Therapeutic Goods summary </w:t>
      </w:r>
    </w:p>
    <w:p w:rsidR="00180CEE" w:rsidRPr="00B74BF0" w:rsidRDefault="00635B39" w:rsidP="00B74BF0">
      <w:pPr>
        <w:pStyle w:val="DHHSbullet1"/>
        <w:spacing w:after="140" w:line="300" w:lineRule="atLeast"/>
        <w:ind w:left="567" w:hanging="567"/>
        <w:rPr>
          <w:rFonts w:ascii="Gill Sans MT" w:hAnsi="Gill Sans MT" w:cs="Arial"/>
          <w:sz w:val="22"/>
          <w:szCs w:val="22"/>
        </w:rPr>
      </w:pPr>
      <w:hyperlink r:id="rId20" w:history="1">
        <w:r w:rsidR="00180CEE" w:rsidRPr="00B74BF0">
          <w:rPr>
            <w:rStyle w:val="Hyperlink"/>
            <w:rFonts w:ascii="Gill Sans MT" w:hAnsi="Gill Sans MT" w:cs="Arial"/>
            <w:i/>
            <w:sz w:val="22"/>
            <w:szCs w:val="22"/>
          </w:rPr>
          <w:t>Australasian Society for HIV, Viral Hepatitis and Sexual Health Medicine HIV pre-exposure prophylaxis: clinical guidelines</w:t>
        </w:r>
      </w:hyperlink>
      <w:r w:rsidR="00180CEE" w:rsidRPr="00B74BF0">
        <w:rPr>
          <w:rFonts w:ascii="Gill Sans MT" w:hAnsi="Gill Sans MT" w:cs="Arial"/>
          <w:i/>
          <w:sz w:val="22"/>
          <w:szCs w:val="22"/>
        </w:rPr>
        <w:t xml:space="preserve"> (2017 updated guidelines)</w:t>
      </w:r>
      <w:r w:rsidR="00180CEE" w:rsidRPr="00B74BF0">
        <w:rPr>
          <w:rFonts w:ascii="Gill Sans MT" w:hAnsi="Gill Sans MT" w:cs="Arial"/>
          <w:sz w:val="22"/>
          <w:szCs w:val="22"/>
          <w:vertAlign w:val="superscript"/>
        </w:rPr>
        <w:t>1</w:t>
      </w:r>
    </w:p>
    <w:p w:rsidR="00180CEE" w:rsidRPr="00B74BF0" w:rsidRDefault="00180CEE" w:rsidP="00B74BF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United States </w:t>
      </w:r>
      <w:proofErr w:type="spellStart"/>
      <w:r w:rsidRPr="00B74BF0">
        <w:rPr>
          <w:rFonts w:ascii="Gill Sans MT" w:hAnsi="Gill Sans MT" w:cs="Arial"/>
          <w:sz w:val="22"/>
          <w:szCs w:val="22"/>
        </w:rPr>
        <w:t>Centers</w:t>
      </w:r>
      <w:proofErr w:type="spellEnd"/>
      <w:r w:rsidRPr="00B74BF0">
        <w:rPr>
          <w:rFonts w:ascii="Gill Sans MT" w:hAnsi="Gill Sans MT" w:cs="Arial"/>
          <w:sz w:val="22"/>
          <w:szCs w:val="22"/>
        </w:rPr>
        <w:t xml:space="preserve"> for Disease Control </w:t>
      </w:r>
      <w:hyperlink r:id="rId21" w:history="1">
        <w:r w:rsidRPr="00B74BF0">
          <w:rPr>
            <w:rStyle w:val="Hyperlink"/>
            <w:rFonts w:ascii="Gill Sans MT" w:hAnsi="Gill Sans MT" w:cs="Arial"/>
            <w:i/>
            <w:sz w:val="22"/>
            <w:szCs w:val="22"/>
          </w:rPr>
          <w:t>Pre-Exposure Prophylaxis for the infection of HIV infection in the United States – 2014: Clinical Providers’ Supplement</w:t>
        </w:r>
      </w:hyperlink>
      <w:r w:rsidRPr="00B74BF0">
        <w:rPr>
          <w:rFonts w:ascii="Gill Sans MT" w:hAnsi="Gill Sans MT" w:cs="Arial"/>
          <w:i/>
          <w:sz w:val="22"/>
          <w:szCs w:val="22"/>
          <w:vertAlign w:val="superscript"/>
        </w:rPr>
        <w:t>7</w:t>
      </w:r>
      <w:r w:rsidRPr="00B74BF0">
        <w:rPr>
          <w:rFonts w:ascii="Gill Sans MT" w:hAnsi="Gill Sans MT" w:cs="Arial"/>
          <w:sz w:val="22"/>
          <w:szCs w:val="22"/>
        </w:rPr>
        <w:t xml:space="preserve"> </w:t>
      </w:r>
    </w:p>
    <w:p w:rsidR="00180CEE" w:rsidRPr="00B74BF0" w:rsidRDefault="00180CEE" w:rsidP="00B74BF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World Health Organisation </w:t>
      </w:r>
      <w:hyperlink r:id="rId22" w:history="1">
        <w:r w:rsidRPr="00B74BF0">
          <w:rPr>
            <w:rStyle w:val="Hyperlink"/>
            <w:rFonts w:ascii="Gill Sans MT" w:hAnsi="Gill Sans MT" w:cs="Arial"/>
            <w:i/>
            <w:sz w:val="22"/>
            <w:szCs w:val="22"/>
          </w:rPr>
          <w:t>Guideline on when to start antiretroviral therapy and on pre-exposure prophylaxis for HIV</w:t>
        </w:r>
      </w:hyperlink>
      <w:r w:rsidRPr="00B74BF0">
        <w:rPr>
          <w:rFonts w:ascii="Gill Sans MT" w:hAnsi="Gill Sans MT" w:cs="Arial"/>
          <w:i/>
          <w:sz w:val="22"/>
          <w:szCs w:val="22"/>
        </w:rPr>
        <w:t xml:space="preserve">, </w:t>
      </w:r>
      <w:r w:rsidRPr="00B74BF0">
        <w:rPr>
          <w:rFonts w:ascii="Gill Sans MT" w:hAnsi="Gill Sans MT" w:cs="Arial"/>
          <w:sz w:val="22"/>
          <w:szCs w:val="22"/>
        </w:rPr>
        <w:t>2015</w:t>
      </w:r>
      <w:r w:rsidRPr="00B74BF0">
        <w:rPr>
          <w:rStyle w:val="EndnoteReference"/>
          <w:rFonts w:ascii="Gill Sans MT" w:hAnsi="Gill Sans MT" w:cs="Arial"/>
          <w:sz w:val="22"/>
          <w:szCs w:val="22"/>
        </w:rPr>
        <w:endnoteReference w:id="17"/>
      </w:r>
    </w:p>
    <w:p w:rsidR="00180CEE" w:rsidRPr="00B74BF0" w:rsidRDefault="00635B39" w:rsidP="00B74BF0">
      <w:pPr>
        <w:pStyle w:val="DHHSbullet1"/>
        <w:spacing w:after="140" w:line="300" w:lineRule="atLeast"/>
        <w:ind w:left="567" w:hanging="567"/>
        <w:rPr>
          <w:rFonts w:ascii="Gill Sans MT" w:hAnsi="Gill Sans MT" w:cs="Arial"/>
          <w:sz w:val="22"/>
          <w:szCs w:val="22"/>
        </w:rPr>
      </w:pPr>
      <w:hyperlink r:id="rId23" w:history="1">
        <w:r w:rsidR="00180CEE" w:rsidRPr="00B74BF0">
          <w:rPr>
            <w:rStyle w:val="Hyperlink"/>
            <w:rFonts w:ascii="Gill Sans MT" w:hAnsi="Gill Sans MT" w:cs="Arial"/>
            <w:sz w:val="22"/>
            <w:szCs w:val="22"/>
          </w:rPr>
          <w:t xml:space="preserve">Gilead Sciences </w:t>
        </w:r>
        <w:proofErr w:type="spellStart"/>
        <w:r w:rsidR="00180CEE" w:rsidRPr="00B74BF0">
          <w:rPr>
            <w:rStyle w:val="Hyperlink"/>
            <w:rFonts w:ascii="Gill Sans MT" w:hAnsi="Gill Sans MT" w:cs="Arial"/>
            <w:sz w:val="22"/>
            <w:szCs w:val="22"/>
          </w:rPr>
          <w:t>Truvada</w:t>
        </w:r>
        <w:proofErr w:type="spellEnd"/>
        <w:r w:rsidR="00180CEE" w:rsidRPr="00B74BF0">
          <w:rPr>
            <w:rStyle w:val="Hyperlink"/>
            <w:rFonts w:ascii="Gill Sans MT" w:hAnsi="Gill Sans MT" w:cs="Arial"/>
            <w:sz w:val="22"/>
            <w:szCs w:val="22"/>
          </w:rPr>
          <w:t xml:space="preserve"> </w:t>
        </w:r>
        <w:proofErr w:type="spellStart"/>
        <w:r w:rsidR="00180CEE" w:rsidRPr="00B74BF0">
          <w:rPr>
            <w:rStyle w:val="Hyperlink"/>
            <w:rFonts w:ascii="Gill Sans MT" w:hAnsi="Gill Sans MT" w:cs="Arial"/>
            <w:sz w:val="22"/>
            <w:szCs w:val="22"/>
          </w:rPr>
          <w:t>PrEP</w:t>
        </w:r>
        <w:proofErr w:type="spellEnd"/>
        <w:r w:rsidR="00180CEE" w:rsidRPr="00B74BF0">
          <w:rPr>
            <w:rStyle w:val="Hyperlink"/>
            <w:rFonts w:ascii="Gill Sans MT" w:hAnsi="Gill Sans MT" w:cs="Arial"/>
            <w:sz w:val="22"/>
            <w:szCs w:val="22"/>
          </w:rPr>
          <w:t xml:space="preserve"> Resources</w:t>
        </w:r>
      </w:hyperlink>
      <w:r w:rsidR="00180CEE" w:rsidRPr="00B74BF0">
        <w:rPr>
          <w:rStyle w:val="EndnoteReference"/>
          <w:rFonts w:ascii="Gill Sans MT" w:hAnsi="Gill Sans MT" w:cs="Arial"/>
          <w:sz w:val="22"/>
          <w:szCs w:val="22"/>
        </w:rPr>
        <w:endnoteReference w:id="18"/>
      </w:r>
    </w:p>
    <w:p w:rsidR="00180CEE" w:rsidRPr="00180CEE" w:rsidRDefault="00180CEE" w:rsidP="00180CEE">
      <w:pPr>
        <w:pStyle w:val="Heading2"/>
        <w:spacing w:before="0" w:after="140" w:line="300" w:lineRule="atLeast"/>
        <w:rPr>
          <w:rFonts w:ascii="Gill Sans MT" w:hAnsi="Gill Sans MT"/>
        </w:rPr>
      </w:pPr>
      <w:bookmarkStart w:id="15" w:name="_Toc511722703"/>
      <w:r w:rsidRPr="00180CEE">
        <w:rPr>
          <w:rFonts w:ascii="Gill Sans MT" w:hAnsi="Gill Sans MT"/>
        </w:rPr>
        <w:t>Training and professional development for workforce</w:t>
      </w:r>
      <w:bookmarkEnd w:id="15"/>
    </w:p>
    <w:p w:rsidR="00180CEE" w:rsidRPr="00B74BF0" w:rsidRDefault="00180CEE" w:rsidP="00180CEE">
      <w:pPr>
        <w:pStyle w:val="DHHSbody"/>
        <w:spacing w:after="140" w:line="300" w:lineRule="atLeast"/>
        <w:rPr>
          <w:rFonts w:ascii="Gill Sans MT" w:hAnsi="Gill Sans MT"/>
          <w:sz w:val="22"/>
          <w:szCs w:val="22"/>
        </w:rPr>
      </w:pPr>
      <w:r w:rsidRPr="00B74BF0">
        <w:rPr>
          <w:rFonts w:ascii="Gill Sans MT" w:hAnsi="Gill Sans MT"/>
          <w:sz w:val="22"/>
          <w:szCs w:val="22"/>
        </w:rPr>
        <w:t xml:space="preserve">The VHHITAL program (Victorian HIV and Hepatitis Integrated Training and Learning) is offering webinar access to modules on prescribing </w:t>
      </w:r>
      <w:proofErr w:type="spellStart"/>
      <w:r w:rsidRPr="00B74BF0">
        <w:rPr>
          <w:rFonts w:ascii="Gill Sans MT" w:hAnsi="Gill Sans MT"/>
          <w:sz w:val="22"/>
          <w:szCs w:val="22"/>
        </w:rPr>
        <w:t>PrEP</w:t>
      </w:r>
      <w:proofErr w:type="spellEnd"/>
      <w:r w:rsidRPr="00B74BF0">
        <w:rPr>
          <w:rFonts w:ascii="Gill Sans MT" w:hAnsi="Gill Sans MT"/>
          <w:sz w:val="22"/>
          <w:szCs w:val="22"/>
        </w:rPr>
        <w:t xml:space="preserve"> and ongoing care. For more information on the VHHITAL program and how to participate in training please visit </w:t>
      </w:r>
      <w:hyperlink r:id="rId24" w:history="1">
        <w:r w:rsidRPr="00B74BF0">
          <w:rPr>
            <w:rStyle w:val="Hyperlink"/>
            <w:rFonts w:ascii="Gill Sans MT" w:hAnsi="Gill Sans MT"/>
            <w:sz w:val="22"/>
            <w:szCs w:val="22"/>
          </w:rPr>
          <w:t>http://www.nwmphn.org.au/vhhital</w:t>
        </w:r>
      </w:hyperlink>
      <w:r w:rsidRPr="00B74BF0">
        <w:rPr>
          <w:rFonts w:ascii="Gill Sans MT" w:hAnsi="Gill Sans MT"/>
          <w:sz w:val="22"/>
          <w:szCs w:val="22"/>
        </w:rPr>
        <w:t xml:space="preserve">, or e-mail vhhital@nwmphn.org.au. </w:t>
      </w:r>
    </w:p>
    <w:p w:rsidR="00180CEE" w:rsidRPr="00B74BF0" w:rsidRDefault="00180CEE" w:rsidP="00180CEE">
      <w:pPr>
        <w:pStyle w:val="DHHSbody"/>
        <w:spacing w:after="140" w:line="300" w:lineRule="atLeast"/>
        <w:rPr>
          <w:rFonts w:ascii="Gill Sans MT" w:hAnsi="Gill Sans MT"/>
          <w:sz w:val="22"/>
          <w:szCs w:val="22"/>
        </w:rPr>
      </w:pPr>
      <w:r w:rsidRPr="00B74BF0">
        <w:rPr>
          <w:rFonts w:ascii="Gill Sans MT" w:hAnsi="Gill Sans MT"/>
          <w:sz w:val="22"/>
          <w:szCs w:val="22"/>
        </w:rPr>
        <w:t xml:space="preserve">See ASHM </w:t>
      </w:r>
      <w:proofErr w:type="spellStart"/>
      <w:r w:rsidRPr="00B74BF0">
        <w:rPr>
          <w:rFonts w:ascii="Gill Sans MT" w:hAnsi="Gill Sans MT"/>
          <w:sz w:val="22"/>
          <w:szCs w:val="22"/>
        </w:rPr>
        <w:t>PrEP</w:t>
      </w:r>
      <w:proofErr w:type="spellEnd"/>
      <w:r w:rsidRPr="00B74BF0">
        <w:rPr>
          <w:rFonts w:ascii="Gill Sans MT" w:hAnsi="Gill Sans MT"/>
          <w:sz w:val="22"/>
          <w:szCs w:val="22"/>
        </w:rPr>
        <w:t xml:space="preserve"> Resources for Clinicians: Online learning module – </w:t>
      </w:r>
      <w:proofErr w:type="spellStart"/>
      <w:r w:rsidRPr="00B74BF0">
        <w:rPr>
          <w:rFonts w:ascii="Gill Sans MT" w:hAnsi="Gill Sans MT"/>
          <w:sz w:val="22"/>
          <w:szCs w:val="22"/>
        </w:rPr>
        <w:t>PrEP</w:t>
      </w:r>
      <w:proofErr w:type="spellEnd"/>
      <w:r w:rsidRPr="00B74BF0">
        <w:rPr>
          <w:rFonts w:ascii="Gill Sans MT" w:hAnsi="Gill Sans MT"/>
          <w:sz w:val="22"/>
          <w:szCs w:val="22"/>
        </w:rPr>
        <w:t xml:space="preserve"> in practice: Guidance for GPs) http://arv.ashm.org.au/arv-guidelines/prep-resources-for-clinicians.</w:t>
      </w:r>
    </w:p>
    <w:p w:rsidR="00180CEE" w:rsidRPr="00180CEE" w:rsidRDefault="00180CEE" w:rsidP="00180CEE">
      <w:pPr>
        <w:pStyle w:val="Heading1"/>
        <w:spacing w:before="0" w:after="140" w:line="300" w:lineRule="atLeast"/>
        <w:ind w:left="720" w:hanging="720"/>
        <w:rPr>
          <w:rFonts w:ascii="Gill Sans MT" w:hAnsi="Gill Sans MT" w:cs="Arial"/>
          <w:b/>
        </w:rPr>
      </w:pPr>
      <w:bookmarkStart w:id="16" w:name="_Toc511722704"/>
      <w:r w:rsidRPr="00180CEE">
        <w:rPr>
          <w:rFonts w:ascii="Gill Sans MT" w:hAnsi="Gill Sans MT" w:cs="Arial"/>
        </w:rPr>
        <w:t>9.</w:t>
      </w:r>
      <w:r w:rsidRPr="00180CEE">
        <w:rPr>
          <w:rFonts w:ascii="Gill Sans MT" w:hAnsi="Gill Sans MT" w:cs="Arial"/>
        </w:rPr>
        <w:tab/>
        <w:t>Supporting documentation for the prescriber and patient</w:t>
      </w:r>
      <w:bookmarkEnd w:id="16"/>
    </w:p>
    <w:p w:rsidR="00180CEE" w:rsidRPr="00B74BF0" w:rsidRDefault="00180CEE" w:rsidP="00180CEE">
      <w:pPr>
        <w:pStyle w:val="DHHSbody"/>
        <w:spacing w:after="140" w:line="300" w:lineRule="atLeast"/>
        <w:rPr>
          <w:rFonts w:ascii="Gill Sans MT" w:hAnsi="Gill Sans MT" w:cs="Arial"/>
          <w:sz w:val="22"/>
          <w:szCs w:val="22"/>
        </w:rPr>
      </w:pPr>
      <w:r w:rsidRPr="00B74BF0">
        <w:rPr>
          <w:rFonts w:ascii="Gill Sans MT" w:hAnsi="Gill Sans MT" w:cs="Arial"/>
          <w:sz w:val="22"/>
          <w:szCs w:val="22"/>
        </w:rPr>
        <w:t>It is recommended that prescribers use supporting documentation with their patient. This may include:</w:t>
      </w:r>
    </w:p>
    <w:p w:rsidR="00180CEE" w:rsidRPr="00B74BF0" w:rsidRDefault="00180CEE" w:rsidP="00B74BF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a prescriber-patient checklist and agreement form for initiating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(see Appendix 1)</w:t>
      </w:r>
    </w:p>
    <w:p w:rsidR="00180CEE" w:rsidRPr="00B74BF0" w:rsidRDefault="00635B39" w:rsidP="00B74BF0">
      <w:pPr>
        <w:pStyle w:val="DHHSbullet1"/>
        <w:spacing w:after="140" w:line="300" w:lineRule="atLeast"/>
        <w:ind w:left="567" w:hanging="567"/>
        <w:rPr>
          <w:rFonts w:ascii="Gill Sans MT" w:hAnsi="Gill Sans MT" w:cs="Arial"/>
          <w:sz w:val="22"/>
          <w:szCs w:val="22"/>
        </w:rPr>
      </w:pPr>
      <w:hyperlink r:id="rId25" w:history="1">
        <w:r w:rsidR="00180CEE" w:rsidRPr="00B74BF0">
          <w:rPr>
            <w:rStyle w:val="Hyperlink"/>
            <w:rFonts w:ascii="Gill Sans MT" w:hAnsi="Gill Sans MT" w:cs="Arial"/>
            <w:i/>
            <w:sz w:val="22"/>
            <w:szCs w:val="22"/>
          </w:rPr>
          <w:t>Important Safety Information About TRUVADA to Reduce the Risk of Getting Human Immunodeficiency Virus-1 (HIV-1) Infection</w:t>
        </w:r>
      </w:hyperlink>
      <w:r w:rsidR="00180CEE" w:rsidRPr="00B74BF0">
        <w:rPr>
          <w:rFonts w:ascii="Gill Sans MT" w:hAnsi="Gill Sans MT" w:cs="Arial"/>
          <w:sz w:val="22"/>
          <w:szCs w:val="22"/>
        </w:rPr>
        <w:t xml:space="preserve"> </w:t>
      </w:r>
      <w:r w:rsidR="00180CEE" w:rsidRPr="00B74BF0">
        <w:rPr>
          <w:rFonts w:ascii="Gill Sans MT" w:hAnsi="Gill Sans MT" w:cs="Arial"/>
          <w:sz w:val="22"/>
          <w:szCs w:val="22"/>
          <w:vertAlign w:val="superscript"/>
        </w:rPr>
        <w:t>19</w:t>
      </w:r>
      <w:r w:rsidR="00180CEE" w:rsidRPr="00B74BF0">
        <w:rPr>
          <w:rFonts w:ascii="Gill Sans MT" w:hAnsi="Gill Sans MT" w:cs="Arial"/>
          <w:sz w:val="22"/>
          <w:szCs w:val="22"/>
        </w:rPr>
        <w:t>**</w:t>
      </w:r>
    </w:p>
    <w:p w:rsidR="00180CEE" w:rsidRPr="00B74BF0" w:rsidRDefault="00180CEE" w:rsidP="00B74BF0">
      <w:pPr>
        <w:pStyle w:val="DHHSbullet1lastline"/>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drug information on </w:t>
      </w:r>
      <w:proofErr w:type="spellStart"/>
      <w:r w:rsidRPr="00B74BF0">
        <w:rPr>
          <w:rFonts w:ascii="Gill Sans MT" w:hAnsi="Gill Sans MT" w:cs="Arial"/>
          <w:sz w:val="22"/>
          <w:szCs w:val="22"/>
        </w:rPr>
        <w:t>tenofovir</w:t>
      </w:r>
      <w:proofErr w:type="spellEnd"/>
      <w:r w:rsidRPr="00B74BF0">
        <w:rPr>
          <w:rFonts w:ascii="Gill Sans MT" w:hAnsi="Gill Sans MT" w:cs="Arial"/>
          <w:sz w:val="22"/>
          <w:szCs w:val="22"/>
        </w:rPr>
        <w:t>/</w:t>
      </w:r>
      <w:proofErr w:type="spellStart"/>
      <w:r w:rsidRPr="00B74BF0">
        <w:rPr>
          <w:rFonts w:ascii="Gill Sans MT" w:hAnsi="Gill Sans MT" w:cs="Arial"/>
          <w:sz w:val="22"/>
          <w:szCs w:val="22"/>
        </w:rPr>
        <w:t>emtricitabine</w:t>
      </w:r>
      <w:proofErr w:type="spellEnd"/>
      <w:r w:rsidRPr="00B74BF0">
        <w:rPr>
          <w:rFonts w:ascii="Gill Sans MT" w:hAnsi="Gill Sans MT" w:cs="Arial"/>
          <w:sz w:val="22"/>
          <w:szCs w:val="22"/>
        </w:rPr>
        <w:t xml:space="preserve"> (TDF/FTC)</w:t>
      </w:r>
      <w:r w:rsidRPr="00B74BF0">
        <w:rPr>
          <w:rFonts w:ascii="Gill Sans MT" w:hAnsi="Gill Sans MT" w:cs="Arial"/>
          <w:sz w:val="22"/>
          <w:szCs w:val="22"/>
          <w:vertAlign w:val="superscript"/>
        </w:rPr>
        <w:t>6</w:t>
      </w:r>
      <w:r w:rsidRPr="00B74BF0">
        <w:rPr>
          <w:rFonts w:ascii="Gill Sans MT" w:hAnsi="Gill Sans MT" w:cs="Arial"/>
          <w:sz w:val="22"/>
          <w:szCs w:val="22"/>
        </w:rPr>
        <w:t xml:space="preserve"> </w:t>
      </w:r>
    </w:p>
    <w:p w:rsidR="00180CEE" w:rsidRPr="00B74BF0" w:rsidRDefault="00180CEE" w:rsidP="00B74BF0">
      <w:pPr>
        <w:pStyle w:val="DHHSbullet1lastline"/>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Community and peer support for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users, through PAN (</w:t>
      </w:r>
      <w:hyperlink r:id="rId26" w:history="1">
        <w:r w:rsidRPr="00B74BF0">
          <w:rPr>
            <w:rStyle w:val="Hyperlink"/>
            <w:rFonts w:ascii="Gill Sans MT" w:hAnsi="Gill Sans MT" w:cs="Arial"/>
            <w:sz w:val="22"/>
            <w:szCs w:val="22"/>
          </w:rPr>
          <w:t>www.pan.org.au</w:t>
        </w:r>
      </w:hyperlink>
      <w:r w:rsidRPr="00B74BF0">
        <w:rPr>
          <w:rFonts w:ascii="Gill Sans MT" w:hAnsi="Gill Sans MT" w:cs="Arial"/>
          <w:sz w:val="22"/>
          <w:szCs w:val="22"/>
        </w:rPr>
        <w:t xml:space="preserve">) and </w:t>
      </w:r>
      <w:proofErr w:type="spellStart"/>
      <w:r w:rsidRPr="00B74BF0">
        <w:rPr>
          <w:rFonts w:ascii="Gill Sans MT" w:hAnsi="Gill Sans MT" w:cs="Arial"/>
          <w:sz w:val="22"/>
          <w:szCs w:val="22"/>
        </w:rPr>
        <w:t>PrEP’d</w:t>
      </w:r>
      <w:proofErr w:type="spellEnd"/>
      <w:r w:rsidRPr="00B74BF0">
        <w:rPr>
          <w:rFonts w:ascii="Gill Sans MT" w:hAnsi="Gill Sans MT" w:cs="Arial"/>
          <w:sz w:val="22"/>
          <w:szCs w:val="22"/>
        </w:rPr>
        <w:t xml:space="preserve"> for Change (</w:t>
      </w:r>
      <w:hyperlink r:id="rId27" w:history="1">
        <w:r w:rsidRPr="00B74BF0">
          <w:rPr>
            <w:rStyle w:val="Hyperlink"/>
            <w:rFonts w:ascii="Gill Sans MT" w:hAnsi="Gill Sans MT" w:cs="Arial"/>
            <w:sz w:val="22"/>
            <w:szCs w:val="22"/>
          </w:rPr>
          <w:t>www.prepdforchange.com</w:t>
        </w:r>
      </w:hyperlink>
      <w:r w:rsidRPr="00B74BF0">
        <w:rPr>
          <w:rFonts w:ascii="Gill Sans MT" w:hAnsi="Gill Sans MT" w:cs="Arial"/>
          <w:sz w:val="22"/>
          <w:szCs w:val="22"/>
        </w:rPr>
        <w:t xml:space="preserve">). These groups also provide guidance for people who are importing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from overseas.</w:t>
      </w:r>
    </w:p>
    <w:p w:rsidR="00180CEE" w:rsidRPr="00B74BF0" w:rsidRDefault="00180CEE" w:rsidP="00180CEE">
      <w:pPr>
        <w:pStyle w:val="DHHStablefigurenote"/>
        <w:spacing w:before="0" w:after="140" w:line="300" w:lineRule="atLeast"/>
        <w:rPr>
          <w:rFonts w:ascii="Gill Sans MT" w:hAnsi="Gill Sans MT" w:cs="Arial"/>
          <w:sz w:val="22"/>
          <w:szCs w:val="22"/>
        </w:rPr>
      </w:pPr>
      <w:r w:rsidRPr="00B74BF0">
        <w:rPr>
          <w:rFonts w:ascii="Gill Sans MT" w:hAnsi="Gill Sans MT" w:cs="Arial"/>
          <w:sz w:val="22"/>
          <w:szCs w:val="22"/>
        </w:rPr>
        <w:t xml:space="preserve">(*This template was adapted by the Prahran Market Clinic, Melbourne from a checklist in the United States </w:t>
      </w:r>
      <w:proofErr w:type="spellStart"/>
      <w:r w:rsidRPr="00B74BF0">
        <w:rPr>
          <w:rFonts w:ascii="Gill Sans MT" w:hAnsi="Gill Sans MT" w:cs="Arial"/>
          <w:sz w:val="22"/>
          <w:szCs w:val="22"/>
        </w:rPr>
        <w:t>Centers</w:t>
      </w:r>
      <w:proofErr w:type="spellEnd"/>
      <w:r w:rsidRPr="00B74BF0">
        <w:rPr>
          <w:rFonts w:ascii="Gill Sans MT" w:hAnsi="Gill Sans MT" w:cs="Arial"/>
          <w:sz w:val="22"/>
          <w:szCs w:val="22"/>
        </w:rPr>
        <w:t xml:space="preserve"> for Disease Control,  Pre-exposure Prophylaxis for the Prevention of HIV Infection in the United States – 2014 Clinical Providers’ Supplement.)</w:t>
      </w:r>
    </w:p>
    <w:p w:rsidR="00B74BF0" w:rsidRDefault="00180CEE" w:rsidP="00B74BF0">
      <w:pPr>
        <w:pStyle w:val="DHHStablefigurenote"/>
        <w:spacing w:before="0" w:after="140" w:line="300" w:lineRule="atLeast"/>
        <w:rPr>
          <w:rFonts w:cs="Arial"/>
          <w:i w:val="0"/>
        </w:rPr>
      </w:pPr>
      <w:r w:rsidRPr="00B74BF0">
        <w:rPr>
          <w:rFonts w:ascii="Gill Sans MT" w:hAnsi="Gill Sans MT" w:cs="Arial"/>
          <w:sz w:val="22"/>
          <w:szCs w:val="22"/>
        </w:rPr>
        <w:t xml:space="preserve">(**Prescribers should note that these resources are based on prescribing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in the United States, and not in Australia.) </w:t>
      </w:r>
      <w:r w:rsidR="00B74BF0">
        <w:rPr>
          <w:rFonts w:ascii="Gill Sans MT" w:hAnsi="Gill Sans MT" w:cs="Arial"/>
          <w:sz w:val="22"/>
          <w:szCs w:val="22"/>
        </w:rPr>
        <w:br w:type="page"/>
      </w:r>
    </w:p>
    <w:p w:rsidR="00180CEE" w:rsidRPr="00180CEE" w:rsidRDefault="00180CEE" w:rsidP="00B74BF0">
      <w:pPr>
        <w:pStyle w:val="Heading1"/>
        <w:spacing w:before="0" w:after="140" w:line="300" w:lineRule="atLeast"/>
        <w:rPr>
          <w:rFonts w:ascii="Gill Sans MT" w:hAnsi="Gill Sans MT" w:cs="Arial"/>
          <w:b/>
        </w:rPr>
      </w:pPr>
      <w:bookmarkStart w:id="17" w:name="_Toc511722705"/>
      <w:r w:rsidRPr="00180CEE">
        <w:rPr>
          <w:rFonts w:ascii="Gill Sans MT" w:hAnsi="Gill Sans MT" w:cs="Arial"/>
        </w:rPr>
        <w:lastRenderedPageBreak/>
        <w:t>10.</w:t>
      </w:r>
      <w:r w:rsidRPr="00180CEE">
        <w:rPr>
          <w:rFonts w:ascii="Gill Sans MT" w:hAnsi="Gill Sans MT" w:cs="Arial"/>
        </w:rPr>
        <w:tab/>
        <w:t xml:space="preserve">If a patient tests positive for HIV while on </w:t>
      </w:r>
      <w:proofErr w:type="spellStart"/>
      <w:r w:rsidRPr="00180CEE">
        <w:rPr>
          <w:rFonts w:ascii="Gill Sans MT" w:hAnsi="Gill Sans MT" w:cs="Arial"/>
        </w:rPr>
        <w:t>PrEP</w:t>
      </w:r>
      <w:bookmarkEnd w:id="17"/>
      <w:proofErr w:type="spellEnd"/>
    </w:p>
    <w:p w:rsidR="00180CEE" w:rsidRPr="00B74BF0" w:rsidRDefault="00180CEE" w:rsidP="00180CEE">
      <w:pPr>
        <w:pStyle w:val="DHHSbody"/>
        <w:spacing w:after="140" w:line="300" w:lineRule="atLeast"/>
        <w:rPr>
          <w:rFonts w:ascii="Gill Sans MT" w:hAnsi="Gill Sans MT" w:cs="Arial"/>
          <w:sz w:val="22"/>
          <w:szCs w:val="22"/>
        </w:rPr>
      </w:pPr>
      <w:r w:rsidRPr="00B74BF0">
        <w:rPr>
          <w:rFonts w:ascii="Gill Sans MT" w:hAnsi="Gill Sans MT" w:cs="Arial"/>
          <w:sz w:val="22"/>
          <w:szCs w:val="22"/>
        </w:rPr>
        <w:t xml:space="preserve">Advice on management of a patient who seroconverts to HIV while taking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is evolving. Most people on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who acquire HIV infection have not been taking their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regularly, or at all.</w:t>
      </w:r>
    </w:p>
    <w:p w:rsidR="00180CEE" w:rsidRPr="00B74BF0" w:rsidRDefault="00180CEE" w:rsidP="00180CEE">
      <w:pPr>
        <w:pStyle w:val="DHHSbody"/>
        <w:spacing w:after="140" w:line="300" w:lineRule="atLeast"/>
        <w:rPr>
          <w:rFonts w:ascii="Gill Sans MT" w:hAnsi="Gill Sans MT" w:cs="Arial"/>
          <w:sz w:val="22"/>
          <w:szCs w:val="22"/>
        </w:rPr>
      </w:pPr>
      <w:r w:rsidRPr="00B74BF0">
        <w:rPr>
          <w:rFonts w:ascii="Gill Sans MT" w:hAnsi="Gill Sans MT" w:cs="Arial"/>
          <w:sz w:val="22"/>
          <w:szCs w:val="22"/>
        </w:rPr>
        <w:t xml:space="preserve">If a patient has a positive HIV fourth generation Ab/Ag test while on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w:t>
      </w:r>
    </w:p>
    <w:p w:rsidR="00180CEE" w:rsidRPr="00B74BF0" w:rsidRDefault="00180CEE" w:rsidP="00660D9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a confirmatory HIV test must be conducted </w:t>
      </w:r>
    </w:p>
    <w:p w:rsidR="00180CEE" w:rsidRPr="00B74BF0" w:rsidRDefault="00180CEE" w:rsidP="00660D9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an HIV genotype test must be conducted</w:t>
      </w:r>
    </w:p>
    <w:p w:rsidR="00180CEE" w:rsidRPr="00B74BF0" w:rsidRDefault="00180CEE" w:rsidP="00660D90">
      <w:pPr>
        <w:pStyle w:val="DHHSbullet1"/>
        <w:spacing w:after="140" w:line="300" w:lineRule="atLeast"/>
        <w:ind w:left="567" w:hanging="567"/>
        <w:rPr>
          <w:rFonts w:ascii="Gill Sans MT" w:hAnsi="Gill Sans MT" w:cs="Arial"/>
          <w:sz w:val="22"/>
          <w:szCs w:val="22"/>
        </w:rPr>
      </w:pPr>
      <w:r w:rsidRPr="00B74BF0">
        <w:rPr>
          <w:rFonts w:ascii="Gill Sans MT" w:hAnsi="Gill Sans MT" w:cs="Arial"/>
          <w:sz w:val="22"/>
          <w:szCs w:val="22"/>
        </w:rPr>
        <w:t xml:space="preserve">the patient should be offered antiretroviral therapy without ceasing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in consultation with an HIV specialist </w:t>
      </w:r>
    </w:p>
    <w:p w:rsidR="00180CEE" w:rsidRPr="00B74BF0" w:rsidRDefault="00180CEE" w:rsidP="00660D90">
      <w:pPr>
        <w:pStyle w:val="DHHSbullet1"/>
        <w:spacing w:after="140" w:line="300" w:lineRule="atLeast"/>
        <w:ind w:left="567" w:hanging="567"/>
        <w:rPr>
          <w:rFonts w:ascii="Gill Sans MT" w:hAnsi="Gill Sans MT" w:cs="Arial"/>
          <w:sz w:val="22"/>
          <w:szCs w:val="22"/>
        </w:rPr>
      </w:pPr>
      <w:proofErr w:type="gramStart"/>
      <w:r w:rsidRPr="00B74BF0">
        <w:rPr>
          <w:rFonts w:ascii="Gill Sans MT" w:hAnsi="Gill Sans MT" w:cs="Arial"/>
          <w:sz w:val="22"/>
          <w:szCs w:val="22"/>
        </w:rPr>
        <w:t>the</w:t>
      </w:r>
      <w:proofErr w:type="gramEnd"/>
      <w:r w:rsidRPr="00B74BF0">
        <w:rPr>
          <w:rFonts w:ascii="Gill Sans MT" w:hAnsi="Gill Sans MT" w:cs="Arial"/>
          <w:sz w:val="22"/>
          <w:szCs w:val="22"/>
        </w:rPr>
        <w:t xml:space="preserve"> patient must be linked into HIV care as soon as possible, if the prescriber is not an HIV specialist.</w:t>
      </w:r>
    </w:p>
    <w:p w:rsidR="00180CEE" w:rsidRPr="00B74BF0" w:rsidRDefault="00180CEE" w:rsidP="00660D90">
      <w:pPr>
        <w:pStyle w:val="DHHSbody"/>
        <w:spacing w:after="140" w:line="300" w:lineRule="atLeast"/>
        <w:rPr>
          <w:rFonts w:ascii="Gill Sans MT" w:hAnsi="Gill Sans MT" w:cs="Arial"/>
          <w:sz w:val="22"/>
          <w:szCs w:val="22"/>
        </w:rPr>
      </w:pPr>
      <w:r w:rsidRPr="00B74BF0">
        <w:rPr>
          <w:rFonts w:ascii="Gill Sans MT" w:hAnsi="Gill Sans MT" w:cs="Arial"/>
          <w:sz w:val="22"/>
          <w:szCs w:val="22"/>
        </w:rPr>
        <w:t xml:space="preserve">It is important not to speculate with your patient as to why seroconversion has occurred, or why </w:t>
      </w:r>
      <w:proofErr w:type="spellStart"/>
      <w:r w:rsidRPr="00B74BF0">
        <w:rPr>
          <w:rFonts w:ascii="Gill Sans MT" w:hAnsi="Gill Sans MT" w:cs="Arial"/>
          <w:sz w:val="22"/>
          <w:szCs w:val="22"/>
        </w:rPr>
        <w:t>PrEP</w:t>
      </w:r>
      <w:proofErr w:type="spellEnd"/>
      <w:r w:rsidRPr="00B74BF0">
        <w:rPr>
          <w:rFonts w:ascii="Gill Sans MT" w:hAnsi="Gill Sans MT" w:cs="Arial"/>
          <w:sz w:val="22"/>
          <w:szCs w:val="22"/>
        </w:rPr>
        <w:t xml:space="preserve"> appears not to have worked in the particular circumstances. It is recommended that health care workers who are unfamiliar with HIV care contact the clinicians at Clinic 60 Hobart (03) 6166</w:t>
      </w:r>
      <w:r w:rsidR="00B46504">
        <w:rPr>
          <w:rFonts w:ascii="Gill Sans MT" w:hAnsi="Gill Sans MT" w:cs="Arial"/>
          <w:sz w:val="22"/>
          <w:szCs w:val="22"/>
        </w:rPr>
        <w:t> </w:t>
      </w:r>
      <w:r w:rsidRPr="00B74BF0">
        <w:rPr>
          <w:rFonts w:ascii="Gill Sans MT" w:hAnsi="Gill Sans MT" w:cs="Arial"/>
          <w:sz w:val="22"/>
          <w:szCs w:val="22"/>
        </w:rPr>
        <w:t xml:space="preserve">2672 or Clinic 34 Launceston </w:t>
      </w:r>
      <w:r w:rsidR="00B46504">
        <w:rPr>
          <w:rFonts w:ascii="Gill Sans MT" w:hAnsi="Gill Sans MT" w:cs="Arial"/>
          <w:sz w:val="22"/>
          <w:szCs w:val="22"/>
        </w:rPr>
        <w:t xml:space="preserve">(03) </w:t>
      </w:r>
      <w:r w:rsidRPr="00B74BF0">
        <w:rPr>
          <w:rFonts w:ascii="Gill Sans MT" w:hAnsi="Gill Sans MT" w:cs="Arial"/>
          <w:sz w:val="22"/>
          <w:szCs w:val="22"/>
        </w:rPr>
        <w:t xml:space="preserve">6777 1371 (Sexual Health Service) for further information and advice. </w:t>
      </w:r>
    </w:p>
    <w:p w:rsidR="00180CEE" w:rsidRPr="00B74BF0" w:rsidRDefault="00180CEE" w:rsidP="00660D90">
      <w:pPr>
        <w:rPr>
          <w:rFonts w:cs="Arial"/>
          <w:color w:val="000000" w:themeColor="text1"/>
          <w:lang w:eastAsia="en-AU"/>
        </w:rPr>
      </w:pPr>
      <w:r w:rsidRPr="00B74BF0">
        <w:rPr>
          <w:rFonts w:cs="Arial"/>
        </w:rPr>
        <w:t>The Tasmanian Council for AIDs, Hepatitis and Related Diseases (</w:t>
      </w:r>
      <w:proofErr w:type="spellStart"/>
      <w:r w:rsidRPr="00B74BF0">
        <w:rPr>
          <w:rFonts w:cs="Arial"/>
        </w:rPr>
        <w:t>TasCAHRD</w:t>
      </w:r>
      <w:proofErr w:type="spellEnd"/>
      <w:r w:rsidRPr="00B74BF0">
        <w:rPr>
          <w:rFonts w:cs="Arial"/>
        </w:rPr>
        <w:t xml:space="preserve">) is a community based organisation that advocates and supports communities living with and/or </w:t>
      </w:r>
      <w:r w:rsidRPr="00B74BF0">
        <w:rPr>
          <w:rFonts w:cs="Arial"/>
          <w:color w:val="000000" w:themeColor="text1"/>
        </w:rPr>
        <w:t xml:space="preserve">affected by HIV, hepatitis and related diseases. More information is available at </w:t>
      </w:r>
      <w:r w:rsidRPr="00B74BF0">
        <w:rPr>
          <w:rFonts w:cs="Arial"/>
          <w:iCs/>
          <w:color w:val="000000" w:themeColor="text1"/>
          <w:lang w:eastAsia="en-AU"/>
        </w:rPr>
        <w:t>www.tascahrd.org.au/</w:t>
      </w:r>
    </w:p>
    <w:p w:rsidR="00180CEE" w:rsidRPr="00180CEE" w:rsidRDefault="00180CEE" w:rsidP="00180CEE">
      <w:pPr>
        <w:pStyle w:val="Heading1"/>
        <w:spacing w:before="0" w:after="140" w:line="300" w:lineRule="atLeast"/>
        <w:rPr>
          <w:rFonts w:ascii="Gill Sans MT" w:hAnsi="Gill Sans MT"/>
        </w:rPr>
      </w:pPr>
      <w:bookmarkStart w:id="18" w:name="_Toc511722706"/>
      <w:r w:rsidRPr="00180CEE">
        <w:rPr>
          <w:rFonts w:ascii="Gill Sans MT" w:hAnsi="Gill Sans MT"/>
        </w:rPr>
        <w:t>11. Additional resources</w:t>
      </w:r>
      <w:bookmarkEnd w:id="18"/>
    </w:p>
    <w:p w:rsidR="00180CEE" w:rsidRPr="00660D90" w:rsidRDefault="00180CEE" w:rsidP="00362C24">
      <w:pPr>
        <w:pStyle w:val="DHHSbody"/>
        <w:numPr>
          <w:ilvl w:val="0"/>
          <w:numId w:val="4"/>
        </w:numPr>
        <w:spacing w:after="140" w:line="300" w:lineRule="atLeast"/>
        <w:ind w:left="567" w:hanging="567"/>
        <w:rPr>
          <w:rFonts w:ascii="Gill Sans MT" w:hAnsi="Gill Sans MT"/>
          <w:sz w:val="22"/>
          <w:szCs w:val="22"/>
        </w:rPr>
      </w:pPr>
      <w:r w:rsidRPr="00660D90">
        <w:rPr>
          <w:rFonts w:ascii="Gill Sans MT" w:hAnsi="Gill Sans MT"/>
          <w:sz w:val="22"/>
          <w:szCs w:val="22"/>
        </w:rPr>
        <w:t xml:space="preserve">Fact sheet on </w:t>
      </w:r>
      <w:proofErr w:type="spellStart"/>
      <w:r w:rsidRPr="00660D90">
        <w:rPr>
          <w:rFonts w:ascii="Gill Sans MT" w:hAnsi="Gill Sans MT"/>
          <w:sz w:val="22"/>
          <w:szCs w:val="22"/>
        </w:rPr>
        <w:t>PrEP</w:t>
      </w:r>
      <w:proofErr w:type="spellEnd"/>
      <w:r w:rsidRPr="00660D90">
        <w:rPr>
          <w:rFonts w:ascii="Gill Sans MT" w:hAnsi="Gill Sans MT"/>
          <w:sz w:val="22"/>
          <w:szCs w:val="22"/>
        </w:rPr>
        <w:t xml:space="preserve"> (ASHM and Australian Federation of AIDS Organisations): </w:t>
      </w:r>
      <w:hyperlink r:id="rId28" w:history="1">
        <w:r w:rsidR="00660D90" w:rsidRPr="00E025F6">
          <w:rPr>
            <w:rStyle w:val="Hyperlink"/>
            <w:rFonts w:ascii="Gill Sans MT" w:hAnsi="Gill Sans MT"/>
            <w:sz w:val="22"/>
            <w:szCs w:val="22"/>
          </w:rPr>
          <w:t>www.afao.org.au/wp-content/uploads/2018/03/2335_afao_prep_fact_sheet_11-1.pdf</w:t>
        </w:r>
      </w:hyperlink>
    </w:p>
    <w:p w:rsidR="00180CEE" w:rsidRPr="00660D90" w:rsidRDefault="00180CEE" w:rsidP="00362C24">
      <w:pPr>
        <w:pStyle w:val="DHHSbody"/>
        <w:numPr>
          <w:ilvl w:val="0"/>
          <w:numId w:val="4"/>
        </w:numPr>
        <w:spacing w:after="140" w:line="300" w:lineRule="atLeast"/>
        <w:ind w:left="567" w:hanging="567"/>
        <w:rPr>
          <w:rFonts w:ascii="Gill Sans MT" w:hAnsi="Gill Sans MT"/>
          <w:sz w:val="22"/>
          <w:szCs w:val="22"/>
        </w:rPr>
      </w:pPr>
      <w:r w:rsidRPr="00660D90">
        <w:rPr>
          <w:rFonts w:ascii="Gill Sans MT" w:hAnsi="Gill Sans MT"/>
          <w:sz w:val="22"/>
          <w:szCs w:val="22"/>
        </w:rPr>
        <w:t xml:space="preserve">ASHM </w:t>
      </w:r>
      <w:proofErr w:type="spellStart"/>
      <w:r w:rsidRPr="00660D90">
        <w:rPr>
          <w:rFonts w:ascii="Gill Sans MT" w:hAnsi="Gill Sans MT"/>
          <w:sz w:val="22"/>
          <w:szCs w:val="22"/>
        </w:rPr>
        <w:t>PrEP</w:t>
      </w:r>
      <w:proofErr w:type="spellEnd"/>
      <w:r w:rsidRPr="00660D90">
        <w:rPr>
          <w:rFonts w:ascii="Gill Sans MT" w:hAnsi="Gill Sans MT"/>
          <w:sz w:val="22"/>
          <w:szCs w:val="22"/>
        </w:rPr>
        <w:t xml:space="preserve"> Resources: </w:t>
      </w:r>
      <w:hyperlink r:id="rId29" w:history="1">
        <w:r w:rsidR="00660D90" w:rsidRPr="00E025F6">
          <w:rPr>
            <w:rStyle w:val="Hyperlink"/>
            <w:rFonts w:ascii="Gill Sans MT" w:hAnsi="Gill Sans MT"/>
            <w:sz w:val="22"/>
            <w:szCs w:val="22"/>
          </w:rPr>
          <w:t>www.ashm.org.au/HIV/PrEP/</w:t>
        </w:r>
      </w:hyperlink>
    </w:p>
    <w:p w:rsidR="00180CEE" w:rsidRPr="00660D90" w:rsidRDefault="00180CEE" w:rsidP="00362C24">
      <w:pPr>
        <w:pStyle w:val="DHHSbody"/>
        <w:numPr>
          <w:ilvl w:val="0"/>
          <w:numId w:val="4"/>
        </w:numPr>
        <w:spacing w:after="140" w:line="300" w:lineRule="atLeast"/>
        <w:ind w:left="567" w:hanging="567"/>
        <w:rPr>
          <w:rFonts w:ascii="Gill Sans MT" w:hAnsi="Gill Sans MT"/>
          <w:sz w:val="22"/>
          <w:szCs w:val="22"/>
        </w:rPr>
      </w:pPr>
      <w:proofErr w:type="spellStart"/>
      <w:r w:rsidRPr="00660D90">
        <w:rPr>
          <w:rFonts w:ascii="Gill Sans MT" w:hAnsi="Gill Sans MT"/>
          <w:sz w:val="22"/>
          <w:szCs w:val="22"/>
        </w:rPr>
        <w:t>PrEP’d</w:t>
      </w:r>
      <w:proofErr w:type="spellEnd"/>
      <w:r w:rsidRPr="00660D90">
        <w:rPr>
          <w:rFonts w:ascii="Gill Sans MT" w:hAnsi="Gill Sans MT"/>
          <w:sz w:val="22"/>
          <w:szCs w:val="22"/>
        </w:rPr>
        <w:t xml:space="preserve"> for Change – </w:t>
      </w:r>
      <w:proofErr w:type="spellStart"/>
      <w:r w:rsidRPr="00660D90">
        <w:rPr>
          <w:rFonts w:ascii="Gill Sans MT" w:hAnsi="Gill Sans MT"/>
          <w:sz w:val="22"/>
          <w:szCs w:val="22"/>
        </w:rPr>
        <w:t>PrEP</w:t>
      </w:r>
      <w:proofErr w:type="spellEnd"/>
      <w:r w:rsidRPr="00660D90">
        <w:rPr>
          <w:rFonts w:ascii="Gill Sans MT" w:hAnsi="Gill Sans MT"/>
          <w:sz w:val="22"/>
          <w:szCs w:val="22"/>
        </w:rPr>
        <w:t xml:space="preserve"> information for patients and clinicians: </w:t>
      </w:r>
      <w:hyperlink r:id="rId30" w:history="1">
        <w:r w:rsidR="00B46504" w:rsidRPr="00E025F6">
          <w:rPr>
            <w:rStyle w:val="Hyperlink"/>
            <w:rFonts w:ascii="Gill Sans MT" w:hAnsi="Gill Sans MT"/>
            <w:sz w:val="22"/>
            <w:szCs w:val="22"/>
          </w:rPr>
          <w:t>www.prepdforchange.com</w:t>
        </w:r>
      </w:hyperlink>
      <w:r w:rsidRPr="00660D90">
        <w:rPr>
          <w:rFonts w:ascii="Gill Sans MT" w:hAnsi="Gill Sans MT"/>
          <w:sz w:val="22"/>
          <w:szCs w:val="22"/>
        </w:rPr>
        <w:t xml:space="preserve"> </w:t>
      </w:r>
    </w:p>
    <w:p w:rsidR="00180CEE" w:rsidRPr="00660D90" w:rsidRDefault="00180CEE" w:rsidP="00362C24">
      <w:pPr>
        <w:pStyle w:val="DHHSbody"/>
        <w:numPr>
          <w:ilvl w:val="0"/>
          <w:numId w:val="4"/>
        </w:numPr>
        <w:spacing w:after="140" w:line="300" w:lineRule="atLeast"/>
        <w:ind w:left="567" w:hanging="567"/>
        <w:rPr>
          <w:rStyle w:val="Hyperlink"/>
          <w:rFonts w:ascii="Gill Sans MT" w:hAnsi="Gill Sans MT"/>
          <w:sz w:val="22"/>
          <w:szCs w:val="22"/>
        </w:rPr>
      </w:pPr>
      <w:r w:rsidRPr="00660D90">
        <w:rPr>
          <w:rFonts w:ascii="Gill Sans MT" w:hAnsi="Gill Sans MT"/>
          <w:sz w:val="22"/>
          <w:szCs w:val="22"/>
        </w:rPr>
        <w:t>PAN (</w:t>
      </w:r>
      <w:proofErr w:type="spellStart"/>
      <w:r w:rsidRPr="00660D90">
        <w:rPr>
          <w:rFonts w:ascii="Gill Sans MT" w:hAnsi="Gill Sans MT"/>
          <w:sz w:val="22"/>
          <w:szCs w:val="22"/>
        </w:rPr>
        <w:t>PrEPaccessNOW</w:t>
      </w:r>
      <w:proofErr w:type="spellEnd"/>
      <w:r w:rsidRPr="00660D90">
        <w:rPr>
          <w:rFonts w:ascii="Gill Sans MT" w:hAnsi="Gill Sans MT"/>
          <w:sz w:val="22"/>
          <w:szCs w:val="22"/>
        </w:rPr>
        <w:t xml:space="preserve">) – Information on importing </w:t>
      </w:r>
      <w:proofErr w:type="spellStart"/>
      <w:r w:rsidRPr="00660D90">
        <w:rPr>
          <w:rFonts w:ascii="Gill Sans MT" w:hAnsi="Gill Sans MT"/>
          <w:sz w:val="22"/>
          <w:szCs w:val="22"/>
        </w:rPr>
        <w:t>PrEP</w:t>
      </w:r>
      <w:proofErr w:type="spellEnd"/>
      <w:r w:rsidRPr="00660D90">
        <w:rPr>
          <w:rFonts w:ascii="Gill Sans MT" w:hAnsi="Gill Sans MT"/>
          <w:sz w:val="22"/>
          <w:szCs w:val="22"/>
        </w:rPr>
        <w:t xml:space="preserve">: </w:t>
      </w:r>
      <w:hyperlink r:id="rId31" w:history="1">
        <w:r w:rsidR="00660D90" w:rsidRPr="00E025F6">
          <w:rPr>
            <w:rStyle w:val="Hyperlink"/>
            <w:rFonts w:ascii="Gill Sans MT" w:hAnsi="Gill Sans MT"/>
            <w:sz w:val="22"/>
            <w:szCs w:val="22"/>
          </w:rPr>
          <w:t>www.pan.org.au</w:t>
        </w:r>
      </w:hyperlink>
      <w:r w:rsidRPr="00660D90">
        <w:rPr>
          <w:rStyle w:val="Hyperlink"/>
          <w:rFonts w:ascii="Gill Sans MT" w:hAnsi="Gill Sans MT"/>
          <w:sz w:val="22"/>
          <w:szCs w:val="22"/>
        </w:rPr>
        <w:t>/</w:t>
      </w:r>
    </w:p>
    <w:p w:rsidR="00180CEE" w:rsidRPr="00660D90" w:rsidRDefault="00180CEE" w:rsidP="00362C24">
      <w:pPr>
        <w:pStyle w:val="DHHSbody"/>
        <w:numPr>
          <w:ilvl w:val="0"/>
          <w:numId w:val="4"/>
        </w:numPr>
        <w:spacing w:after="140" w:line="300" w:lineRule="atLeast"/>
        <w:ind w:left="567" w:hanging="567"/>
        <w:rPr>
          <w:rFonts w:ascii="Gill Sans MT" w:hAnsi="Gill Sans MT"/>
          <w:sz w:val="22"/>
          <w:szCs w:val="22"/>
        </w:rPr>
      </w:pPr>
      <w:r w:rsidRPr="00660D90">
        <w:rPr>
          <w:rFonts w:ascii="Gill Sans MT" w:hAnsi="Gill Sans MT" w:cs="Arial"/>
          <w:sz w:val="22"/>
          <w:szCs w:val="22"/>
        </w:rPr>
        <w:t>Tasmanian Council for AIDs, Hepatitis and Related Diseases (</w:t>
      </w:r>
      <w:proofErr w:type="spellStart"/>
      <w:r w:rsidRPr="00660D90">
        <w:rPr>
          <w:rFonts w:ascii="Gill Sans MT" w:hAnsi="Gill Sans MT" w:cs="Arial"/>
          <w:sz w:val="22"/>
          <w:szCs w:val="22"/>
        </w:rPr>
        <w:t>TasCAHRD</w:t>
      </w:r>
      <w:proofErr w:type="spellEnd"/>
      <w:r w:rsidRPr="00660D90">
        <w:rPr>
          <w:rFonts w:ascii="Gill Sans MT" w:hAnsi="Gill Sans MT" w:cs="Arial"/>
          <w:sz w:val="22"/>
          <w:szCs w:val="22"/>
        </w:rPr>
        <w:t xml:space="preserve">): </w:t>
      </w:r>
      <w:hyperlink r:id="rId32" w:history="1">
        <w:r w:rsidRPr="00660D90">
          <w:rPr>
            <w:rStyle w:val="Hyperlink"/>
            <w:rFonts w:ascii="Gill Sans MT" w:eastAsia="Times New Roman" w:hAnsi="Gill Sans MT" w:cs="Arial"/>
            <w:iCs/>
            <w:sz w:val="22"/>
            <w:szCs w:val="22"/>
            <w:lang w:eastAsia="en-AU"/>
          </w:rPr>
          <w:t>www.tascahrd.org.au/</w:t>
        </w:r>
      </w:hyperlink>
    </w:p>
    <w:p w:rsidR="00180CEE" w:rsidRPr="00660D90" w:rsidRDefault="00180CEE" w:rsidP="00362C24">
      <w:pPr>
        <w:pStyle w:val="DHHSbody"/>
        <w:numPr>
          <w:ilvl w:val="0"/>
          <w:numId w:val="4"/>
        </w:numPr>
        <w:spacing w:after="140" w:line="300" w:lineRule="atLeast"/>
        <w:ind w:left="567" w:hanging="567"/>
        <w:rPr>
          <w:rFonts w:ascii="Gill Sans MT" w:hAnsi="Gill Sans MT"/>
          <w:sz w:val="22"/>
          <w:szCs w:val="22"/>
        </w:rPr>
      </w:pPr>
      <w:r w:rsidRPr="00660D90">
        <w:rPr>
          <w:rFonts w:ascii="Gill Sans MT" w:hAnsi="Gill Sans MT"/>
          <w:sz w:val="22"/>
          <w:szCs w:val="22"/>
        </w:rPr>
        <w:t xml:space="preserve">All Good – Information on HIV, STIs and viral hepatitis in 17 different languages, for culturally and linguistically diverse people. Additional resources for Aboriginal and Torres Strait Islander people: </w:t>
      </w:r>
      <w:hyperlink r:id="rId33" w:history="1">
        <w:r w:rsidRPr="00660D90">
          <w:rPr>
            <w:rStyle w:val="Hyperlink"/>
            <w:rFonts w:ascii="Gill Sans MT" w:hAnsi="Gill Sans MT"/>
            <w:sz w:val="22"/>
            <w:szCs w:val="22"/>
          </w:rPr>
          <w:t>http://allgood.org.au/</w:t>
        </w:r>
      </w:hyperlink>
    </w:p>
    <w:p w:rsidR="00180CEE" w:rsidRPr="00660D90" w:rsidRDefault="00180CEE" w:rsidP="00362C24">
      <w:pPr>
        <w:pStyle w:val="DHHSbody"/>
        <w:numPr>
          <w:ilvl w:val="0"/>
          <w:numId w:val="4"/>
        </w:numPr>
        <w:spacing w:after="140" w:line="300" w:lineRule="atLeast"/>
        <w:ind w:left="567" w:hanging="567"/>
        <w:rPr>
          <w:rFonts w:ascii="Gill Sans MT" w:hAnsi="Gill Sans MT"/>
        </w:rPr>
      </w:pPr>
      <w:r w:rsidRPr="00660D90">
        <w:rPr>
          <w:rFonts w:ascii="Gill Sans MT" w:hAnsi="Gill Sans MT"/>
          <w:sz w:val="22"/>
          <w:szCs w:val="22"/>
        </w:rPr>
        <w:t xml:space="preserve">Clinicians at </w:t>
      </w:r>
      <w:r w:rsidRPr="00660D90">
        <w:rPr>
          <w:rFonts w:ascii="Gill Sans MT" w:hAnsi="Gill Sans MT" w:cs="Arial"/>
          <w:sz w:val="22"/>
          <w:szCs w:val="22"/>
        </w:rPr>
        <w:t>Clinic 60 Hobart (03) 6166</w:t>
      </w:r>
      <w:r w:rsidR="00B46504">
        <w:rPr>
          <w:rFonts w:ascii="Gill Sans MT" w:hAnsi="Gill Sans MT" w:cs="Arial"/>
          <w:sz w:val="22"/>
          <w:szCs w:val="22"/>
        </w:rPr>
        <w:t xml:space="preserve"> </w:t>
      </w:r>
      <w:proofErr w:type="gramStart"/>
      <w:r w:rsidRPr="00660D90">
        <w:rPr>
          <w:rFonts w:ascii="Gill Sans MT" w:hAnsi="Gill Sans MT" w:cs="Arial"/>
          <w:sz w:val="22"/>
          <w:szCs w:val="22"/>
        </w:rPr>
        <w:t>2672  or</w:t>
      </w:r>
      <w:proofErr w:type="gramEnd"/>
      <w:r w:rsidRPr="00660D90">
        <w:rPr>
          <w:rFonts w:ascii="Gill Sans MT" w:hAnsi="Gill Sans MT" w:cs="Arial"/>
          <w:sz w:val="22"/>
          <w:szCs w:val="22"/>
        </w:rPr>
        <w:t xml:space="preserve"> Clinic 34 Launceston </w:t>
      </w:r>
      <w:r w:rsidR="00B46504">
        <w:rPr>
          <w:rFonts w:ascii="Gill Sans MT" w:hAnsi="Gill Sans MT" w:cs="Arial"/>
          <w:sz w:val="22"/>
          <w:szCs w:val="22"/>
        </w:rPr>
        <w:t xml:space="preserve">(03) </w:t>
      </w:r>
      <w:r w:rsidRPr="00660D90">
        <w:rPr>
          <w:rFonts w:ascii="Gill Sans MT" w:hAnsi="Gill Sans MT" w:cs="Arial"/>
          <w:sz w:val="22"/>
          <w:szCs w:val="22"/>
        </w:rPr>
        <w:t>6777 1371 (Sexual Health Service)</w:t>
      </w:r>
      <w:r w:rsidR="00660D90">
        <w:rPr>
          <w:rFonts w:ascii="Gill Sans MT" w:hAnsi="Gill Sans MT" w:cs="Arial"/>
          <w:sz w:val="22"/>
          <w:szCs w:val="22"/>
        </w:rPr>
        <w:t>.</w:t>
      </w:r>
    </w:p>
    <w:p w:rsidR="00180CEE" w:rsidRPr="00180CEE" w:rsidRDefault="00180CEE" w:rsidP="00180CEE">
      <w:pPr>
        <w:pStyle w:val="Heading1"/>
        <w:spacing w:before="0" w:after="140" w:line="300" w:lineRule="atLeast"/>
        <w:rPr>
          <w:rFonts w:ascii="Gill Sans MT" w:hAnsi="Gill Sans MT"/>
        </w:rPr>
      </w:pPr>
      <w:r w:rsidRPr="00180CEE">
        <w:rPr>
          <w:rFonts w:ascii="Gill Sans MT" w:hAnsi="Gill Sans MT"/>
          <w:b/>
          <w:sz w:val="18"/>
          <w:szCs w:val="18"/>
        </w:rPr>
        <w:br w:type="page"/>
      </w:r>
      <w:bookmarkStart w:id="19" w:name="_Toc511722707"/>
      <w:r w:rsidRPr="00180CEE">
        <w:rPr>
          <w:rFonts w:ascii="Gill Sans MT" w:hAnsi="Gill Sans MT"/>
        </w:rPr>
        <w:lastRenderedPageBreak/>
        <w:t xml:space="preserve">Appendix 1: Guidance on prescribing </w:t>
      </w:r>
      <w:proofErr w:type="spellStart"/>
      <w:r w:rsidRPr="00180CEE">
        <w:rPr>
          <w:rFonts w:ascii="Gill Sans MT" w:hAnsi="Gill Sans MT"/>
        </w:rPr>
        <w:t>PrEP</w:t>
      </w:r>
      <w:bookmarkEnd w:id="19"/>
      <w:proofErr w:type="spellEnd"/>
    </w:p>
    <w:p w:rsidR="00180CEE" w:rsidRPr="00660D90" w:rsidRDefault="00180CEE" w:rsidP="00180CEE">
      <w:pPr>
        <w:pStyle w:val="DHHSbody"/>
        <w:spacing w:after="140" w:line="300" w:lineRule="atLeast"/>
        <w:rPr>
          <w:rFonts w:ascii="Gill Sans MT" w:hAnsi="Gill Sans MT" w:cs="Arial"/>
          <w:sz w:val="22"/>
          <w:szCs w:val="22"/>
          <w:lang w:eastAsia="en-AU"/>
        </w:rPr>
      </w:pPr>
      <w:r w:rsidRPr="00660D90">
        <w:rPr>
          <w:rFonts w:ascii="Gill Sans MT" w:hAnsi="Gill Sans MT" w:cs="Arial"/>
          <w:sz w:val="22"/>
          <w:szCs w:val="22"/>
          <w:lang w:eastAsia="en-AU"/>
        </w:rPr>
        <w:t xml:space="preserve">The following tables should only be used as a guide for prescribing </w:t>
      </w:r>
      <w:proofErr w:type="spellStart"/>
      <w:r w:rsidRPr="00660D90">
        <w:rPr>
          <w:rFonts w:ascii="Gill Sans MT" w:hAnsi="Gill Sans MT" w:cs="Arial"/>
          <w:sz w:val="22"/>
          <w:szCs w:val="22"/>
          <w:lang w:eastAsia="en-AU"/>
        </w:rPr>
        <w:t>PrEP.</w:t>
      </w:r>
      <w:proofErr w:type="spellEnd"/>
      <w:r w:rsidRPr="00660D90">
        <w:rPr>
          <w:rFonts w:ascii="Gill Sans MT" w:hAnsi="Gill Sans MT" w:cs="Arial"/>
          <w:sz w:val="22"/>
          <w:szCs w:val="22"/>
          <w:lang w:eastAsia="en-AU"/>
        </w:rPr>
        <w:t xml:space="preserve"> The inclusion criteria described below should be balanced with the following exclusion criteria – confirmed HIV infection; symptoms consistent with acute HIV infection; underlying renal disease; underlying bone disease; unwillingness to adhere to </w:t>
      </w:r>
      <w:proofErr w:type="spellStart"/>
      <w:r w:rsidRPr="00660D90">
        <w:rPr>
          <w:rFonts w:ascii="Gill Sans MT" w:hAnsi="Gill Sans MT" w:cs="Arial"/>
          <w:sz w:val="22"/>
          <w:szCs w:val="22"/>
          <w:lang w:eastAsia="en-AU"/>
        </w:rPr>
        <w:t>PrEP</w:t>
      </w:r>
      <w:proofErr w:type="spellEnd"/>
      <w:r w:rsidRPr="00660D90">
        <w:rPr>
          <w:rFonts w:ascii="Gill Sans MT" w:hAnsi="Gill Sans MT" w:cs="Arial"/>
          <w:sz w:val="22"/>
          <w:szCs w:val="22"/>
          <w:lang w:eastAsia="en-AU"/>
        </w:rPr>
        <w:t xml:space="preserve"> regimen or unwillingness to attend follow-up visits</w:t>
      </w:r>
      <w:r w:rsidRPr="00660D90">
        <w:rPr>
          <w:rFonts w:ascii="Gill Sans MT" w:hAnsi="Gill Sans MT" w:cs="Arial"/>
          <w:sz w:val="22"/>
          <w:szCs w:val="22"/>
          <w:vertAlign w:val="superscript"/>
          <w:lang w:eastAsia="en-AU"/>
        </w:rPr>
        <w:t>18</w:t>
      </w:r>
      <w:r w:rsidRPr="00660D90">
        <w:rPr>
          <w:rFonts w:ascii="Gill Sans MT" w:hAnsi="Gill Sans MT" w:cs="Arial"/>
          <w:sz w:val="22"/>
          <w:szCs w:val="22"/>
          <w:lang w:eastAsia="en-AU"/>
        </w:rPr>
        <w:t>.</w:t>
      </w:r>
    </w:p>
    <w:p w:rsidR="00180CEE" w:rsidRPr="00660D90" w:rsidRDefault="00180CEE" w:rsidP="00180CEE">
      <w:pPr>
        <w:pStyle w:val="DHHSbody"/>
        <w:spacing w:after="140" w:line="300" w:lineRule="atLeast"/>
        <w:rPr>
          <w:rFonts w:ascii="Gill Sans MT" w:hAnsi="Gill Sans MT" w:cs="Arial"/>
          <w:sz w:val="22"/>
          <w:szCs w:val="22"/>
          <w:lang w:eastAsia="en-AU"/>
        </w:rPr>
      </w:pPr>
      <w:r w:rsidRPr="00660D90">
        <w:rPr>
          <w:rFonts w:ascii="Gill Sans MT" w:hAnsi="Gill Sans MT" w:cs="Arial"/>
          <w:b/>
          <w:sz w:val="22"/>
          <w:szCs w:val="22"/>
          <w:lang w:eastAsia="en-AU"/>
        </w:rPr>
        <w:t xml:space="preserve">There may be a cohort of clients who do not meet either the inclusion or exclusion criteria. In these cases, practitioners should make a clinical judgment in regard to prescribing </w:t>
      </w:r>
      <w:proofErr w:type="spellStart"/>
      <w:r w:rsidRPr="00660D90">
        <w:rPr>
          <w:rFonts w:ascii="Gill Sans MT" w:hAnsi="Gill Sans MT" w:cs="Arial"/>
          <w:b/>
          <w:sz w:val="22"/>
          <w:szCs w:val="22"/>
          <w:lang w:eastAsia="en-AU"/>
        </w:rPr>
        <w:t>PrEP</w:t>
      </w:r>
      <w:proofErr w:type="spellEnd"/>
      <w:r w:rsidRPr="00660D90">
        <w:rPr>
          <w:rFonts w:ascii="Gill Sans MT" w:hAnsi="Gill Sans MT" w:cs="Arial"/>
          <w:b/>
          <w:sz w:val="22"/>
          <w:szCs w:val="22"/>
          <w:lang w:eastAsia="en-AU"/>
        </w:rPr>
        <w:t xml:space="preserve"> based on a client’s individual needs and concerns.</w:t>
      </w:r>
    </w:p>
    <w:p w:rsidR="00180CEE" w:rsidRPr="00660D90" w:rsidRDefault="00180CEE" w:rsidP="00180CEE">
      <w:pPr>
        <w:pStyle w:val="DHHSbody"/>
        <w:spacing w:after="140" w:line="300" w:lineRule="atLeast"/>
        <w:rPr>
          <w:rFonts w:ascii="Gill Sans MT" w:hAnsi="Gill Sans MT" w:cs="Arial"/>
          <w:sz w:val="22"/>
          <w:szCs w:val="22"/>
        </w:rPr>
      </w:pPr>
      <w:r w:rsidRPr="00660D90">
        <w:rPr>
          <w:rFonts w:ascii="Gill Sans MT" w:hAnsi="Gill Sans MT" w:cs="Arial"/>
          <w:sz w:val="22"/>
          <w:szCs w:val="22"/>
          <w:lang w:eastAsia="en-AU"/>
        </w:rPr>
        <w:t xml:space="preserve">Tables below have been drawn from the </w:t>
      </w:r>
      <w:r w:rsidRPr="00660D90">
        <w:rPr>
          <w:rFonts w:ascii="Gill Sans MT" w:hAnsi="Gill Sans MT" w:cs="Arial"/>
          <w:i/>
          <w:sz w:val="22"/>
          <w:szCs w:val="22"/>
          <w:lang w:eastAsia="en-AU"/>
        </w:rPr>
        <w:t>2017</w:t>
      </w:r>
      <w:r w:rsidRPr="00660D90">
        <w:rPr>
          <w:rFonts w:ascii="Gill Sans MT" w:hAnsi="Gill Sans MT" w:cs="Arial"/>
          <w:sz w:val="22"/>
          <w:szCs w:val="22"/>
          <w:lang w:eastAsia="en-AU"/>
        </w:rPr>
        <w:t xml:space="preserve"> </w:t>
      </w:r>
      <w:r w:rsidRPr="00660D90">
        <w:rPr>
          <w:rFonts w:ascii="Gill Sans MT" w:hAnsi="Gill Sans MT" w:cs="Arial"/>
          <w:i/>
          <w:sz w:val="22"/>
          <w:szCs w:val="22"/>
        </w:rPr>
        <w:t>Australasian Society for HIV, Viral Hepatitis and Sexual Health Medicine HIV pre-exposure prophylaxis: clinical guidelines</w:t>
      </w:r>
      <w:r w:rsidRPr="00660D90">
        <w:rPr>
          <w:rFonts w:ascii="Gill Sans MT" w:hAnsi="Gill Sans MT" w:cs="Arial"/>
          <w:sz w:val="22"/>
          <w:szCs w:val="22"/>
        </w:rPr>
        <w:t>.</w:t>
      </w:r>
      <w:r w:rsidRPr="00660D90">
        <w:rPr>
          <w:rFonts w:ascii="Gill Sans MT" w:hAnsi="Gill Sans MT" w:cs="Arial"/>
          <w:sz w:val="22"/>
          <w:szCs w:val="22"/>
          <w:vertAlign w:val="superscript"/>
        </w:rPr>
        <w:t>1</w:t>
      </w:r>
    </w:p>
    <w:p w:rsidR="00180CEE" w:rsidRPr="00180CEE" w:rsidRDefault="00180CEE" w:rsidP="00180CEE">
      <w:pPr>
        <w:pStyle w:val="Heading2"/>
        <w:spacing w:before="0" w:after="140" w:line="300" w:lineRule="atLeast"/>
        <w:rPr>
          <w:rFonts w:ascii="Gill Sans MT" w:hAnsi="Gill Sans MT" w:cs="Arial"/>
          <w:lang w:eastAsia="en-AU"/>
        </w:rPr>
      </w:pPr>
      <w:bookmarkStart w:id="20" w:name="_Toc511722708"/>
      <w:r w:rsidRPr="00180CEE">
        <w:rPr>
          <w:rFonts w:ascii="Gill Sans MT" w:hAnsi="Gill Sans MT" w:cs="Arial"/>
          <w:lang w:eastAsia="en-AU"/>
        </w:rPr>
        <w:t xml:space="preserve">Behavioural eligibility criteria for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for MSM</w:t>
      </w:r>
      <w:bookmarkEnd w:id="20"/>
      <w:r w:rsidRPr="00180CEE">
        <w:rPr>
          <w:rFonts w:ascii="Gill Sans MT" w:hAnsi="Gill Sans MT" w:cs="Arial"/>
          <w:lang w:eastAsia="en-AU"/>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A. High risk – recommend prescribing daily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w:t>
            </w:r>
          </w:p>
        </w:tc>
      </w:tr>
      <w:tr w:rsidR="00180CEE" w:rsidRPr="00180CEE" w:rsidTr="00F2210D">
        <w:trPr>
          <w:jc w:val="center"/>
        </w:trPr>
        <w:tc>
          <w:tcPr>
            <w:tcW w:w="9406" w:type="dxa"/>
            <w:tcBorders>
              <w:bottom w:val="single" w:sz="4" w:space="0" w:color="auto"/>
            </w:tcBorders>
            <w:shd w:val="clear" w:color="auto" w:fill="auto"/>
          </w:tcPr>
          <w:p w:rsidR="00180CEE" w:rsidRPr="00660D90" w:rsidRDefault="00180CEE" w:rsidP="00180CEE">
            <w:pPr>
              <w:pStyle w:val="DHHStabletext"/>
              <w:spacing w:before="0" w:after="140" w:line="300" w:lineRule="atLeast"/>
              <w:rPr>
                <w:rFonts w:ascii="Gill Sans MT" w:hAnsi="Gill Sans MT" w:cs="Arial"/>
                <w:b/>
                <w:sz w:val="22"/>
                <w:szCs w:val="22"/>
                <w:lang w:eastAsia="en-AU"/>
              </w:rPr>
            </w:pPr>
            <w:r w:rsidRPr="00660D90">
              <w:rPr>
                <w:rFonts w:ascii="Gill Sans MT" w:hAnsi="Gill Sans MT" w:cs="Arial"/>
                <w:b/>
                <w:sz w:val="22"/>
                <w:szCs w:val="22"/>
                <w:lang w:eastAsia="en-AU"/>
              </w:rPr>
              <w:t xml:space="preserve">If the client acknowledges having had any of the following in the last </w:t>
            </w:r>
            <w:r w:rsidR="00660D90" w:rsidRPr="00660D90">
              <w:rPr>
                <w:rFonts w:ascii="Gill Sans MT" w:hAnsi="Gill Sans MT" w:cs="Arial"/>
                <w:b/>
                <w:sz w:val="22"/>
                <w:szCs w:val="22"/>
                <w:lang w:eastAsia="en-AU"/>
              </w:rPr>
              <w:t>three</w:t>
            </w:r>
            <w:r w:rsidRPr="00660D90">
              <w:rPr>
                <w:rFonts w:ascii="Gill Sans MT" w:hAnsi="Gill Sans MT" w:cs="Arial"/>
                <w:b/>
                <w:sz w:val="22"/>
                <w:szCs w:val="22"/>
                <w:lang w:eastAsia="en-AU"/>
              </w:rPr>
              <w:t xml:space="preserve"> months: </w:t>
            </w:r>
          </w:p>
          <w:p w:rsidR="00180CEE" w:rsidRPr="00660D90" w:rsidRDefault="00180CEE" w:rsidP="00660D90">
            <w:pPr>
              <w:pStyle w:val="DHHStablebullet"/>
              <w:spacing w:before="0" w:after="140" w:line="300" w:lineRule="atLeast"/>
              <w:ind w:left="510" w:hanging="510"/>
              <w:contextualSpacing/>
              <w:rPr>
                <w:rFonts w:ascii="Gill Sans MT" w:hAnsi="Gill Sans MT" w:cs="Arial"/>
                <w:sz w:val="22"/>
                <w:szCs w:val="22"/>
                <w:lang w:eastAsia="en-AU"/>
              </w:rPr>
            </w:pPr>
            <w:r w:rsidRPr="00660D90">
              <w:rPr>
                <w:rFonts w:ascii="Gill Sans MT" w:hAnsi="Gill Sans MT" w:cs="Arial"/>
                <w:sz w:val="22"/>
                <w:szCs w:val="22"/>
                <w:lang w:eastAsia="en-AU"/>
              </w:rPr>
              <w:t xml:space="preserve">At least one episode of </w:t>
            </w:r>
            <w:proofErr w:type="spellStart"/>
            <w:r w:rsidRPr="00660D90">
              <w:rPr>
                <w:rFonts w:ascii="Gill Sans MT" w:hAnsi="Gill Sans MT" w:cs="Arial"/>
                <w:sz w:val="22"/>
                <w:szCs w:val="22"/>
                <w:lang w:eastAsia="en-AU"/>
              </w:rPr>
              <w:t>condomless</w:t>
            </w:r>
            <w:proofErr w:type="spellEnd"/>
            <w:r w:rsidRPr="00660D90">
              <w:rPr>
                <w:rFonts w:ascii="Gill Sans MT" w:hAnsi="Gill Sans MT" w:cs="Arial"/>
                <w:sz w:val="22"/>
                <w:szCs w:val="22"/>
                <w:lang w:eastAsia="en-AU"/>
              </w:rPr>
              <w:t xml:space="preserve"> anal intercourse (CLAI) with a regular HIV+ partner (not on treatment and/or detectable viral load)</w:t>
            </w:r>
            <w:r w:rsidR="00B46504">
              <w:rPr>
                <w:rFonts w:ascii="Gill Sans MT" w:hAnsi="Gill Sans MT" w:cs="Arial"/>
                <w:sz w:val="22"/>
                <w:szCs w:val="22"/>
                <w:lang w:eastAsia="en-AU"/>
              </w:rPr>
              <w:t>.</w:t>
            </w:r>
            <w:r w:rsidRPr="00660D90">
              <w:rPr>
                <w:rFonts w:ascii="Gill Sans MT" w:hAnsi="Gill Sans MT" w:cs="Arial"/>
                <w:sz w:val="22"/>
                <w:szCs w:val="22"/>
                <w:lang w:eastAsia="en-AU"/>
              </w:rPr>
              <w:t xml:space="preserve"> </w:t>
            </w:r>
          </w:p>
          <w:p w:rsidR="00180CEE" w:rsidRPr="00660D90" w:rsidRDefault="00180CEE" w:rsidP="00660D90">
            <w:pPr>
              <w:pStyle w:val="DHHStablebullet"/>
              <w:spacing w:before="0" w:after="140" w:line="300" w:lineRule="atLeast"/>
              <w:ind w:left="510" w:hanging="510"/>
              <w:contextualSpacing/>
              <w:rPr>
                <w:rFonts w:ascii="Gill Sans MT" w:hAnsi="Gill Sans MT" w:cs="Arial"/>
                <w:sz w:val="22"/>
                <w:szCs w:val="22"/>
                <w:lang w:eastAsia="en-AU"/>
              </w:rPr>
            </w:pPr>
            <w:r w:rsidRPr="00660D90">
              <w:rPr>
                <w:rFonts w:ascii="Gill Sans MT" w:hAnsi="Gill Sans MT" w:cs="Arial"/>
                <w:sz w:val="22"/>
                <w:szCs w:val="22"/>
                <w:lang w:eastAsia="en-AU"/>
              </w:rPr>
              <w:t xml:space="preserve">At least </w:t>
            </w:r>
            <w:r w:rsidRPr="00660D90">
              <w:rPr>
                <w:rFonts w:ascii="Gill Sans MT" w:hAnsi="Gill Sans MT" w:cs="Arial"/>
                <w:b/>
                <w:sz w:val="22"/>
                <w:szCs w:val="22"/>
                <w:lang w:eastAsia="en-AU"/>
              </w:rPr>
              <w:t>one</w:t>
            </w:r>
            <w:r w:rsidRPr="00660D90">
              <w:rPr>
                <w:rFonts w:ascii="Gill Sans MT" w:hAnsi="Gill Sans MT" w:cs="Arial"/>
                <w:sz w:val="22"/>
                <w:szCs w:val="22"/>
                <w:lang w:eastAsia="en-AU"/>
              </w:rPr>
              <w:t xml:space="preserve"> episode of receptive CLAI with any casual HIV+ male partner or a male partner of unknown status</w:t>
            </w:r>
            <w:r w:rsidR="00B46504">
              <w:rPr>
                <w:rFonts w:ascii="Gill Sans MT" w:hAnsi="Gill Sans MT" w:cs="Arial"/>
                <w:sz w:val="22"/>
                <w:szCs w:val="22"/>
                <w:lang w:eastAsia="en-AU"/>
              </w:rPr>
              <w:t>.</w:t>
            </w:r>
          </w:p>
          <w:p w:rsidR="00180CEE" w:rsidRPr="00660D90" w:rsidRDefault="00180CEE" w:rsidP="00660D90">
            <w:pPr>
              <w:pStyle w:val="DHHStablebullet"/>
              <w:spacing w:before="0" w:after="140" w:line="300" w:lineRule="atLeast"/>
              <w:ind w:left="510" w:hanging="510"/>
              <w:contextualSpacing/>
              <w:rPr>
                <w:rFonts w:ascii="Gill Sans MT" w:hAnsi="Gill Sans MT" w:cs="Arial"/>
                <w:sz w:val="22"/>
                <w:szCs w:val="22"/>
                <w:lang w:eastAsia="en-AU"/>
              </w:rPr>
            </w:pPr>
            <w:r w:rsidRPr="00660D90">
              <w:rPr>
                <w:rFonts w:ascii="Gill Sans MT" w:hAnsi="Gill Sans MT" w:cs="Arial"/>
                <w:sz w:val="22"/>
                <w:szCs w:val="22"/>
                <w:lang w:eastAsia="en-AU"/>
              </w:rPr>
              <w:t xml:space="preserve">Rectal gonorrhoea, rectal chlamydia or infectious syphilis diagnosis (during the last </w:t>
            </w:r>
            <w:r w:rsidR="00660D90" w:rsidRPr="00660D90">
              <w:rPr>
                <w:rFonts w:ascii="Gill Sans MT" w:hAnsi="Gill Sans MT" w:cs="Arial"/>
                <w:sz w:val="22"/>
                <w:szCs w:val="22"/>
                <w:lang w:eastAsia="en-AU"/>
              </w:rPr>
              <w:t>three</w:t>
            </w:r>
            <w:r w:rsidRPr="00660D90">
              <w:rPr>
                <w:rFonts w:ascii="Gill Sans MT" w:hAnsi="Gill Sans MT" w:cs="Arial"/>
                <w:sz w:val="22"/>
                <w:szCs w:val="22"/>
                <w:lang w:eastAsia="en-AU"/>
              </w:rPr>
              <w:t xml:space="preserve"> months or at screening for </w:t>
            </w:r>
            <w:proofErr w:type="spellStart"/>
            <w:r w:rsidRPr="00660D90">
              <w:rPr>
                <w:rFonts w:ascii="Gill Sans MT" w:hAnsi="Gill Sans MT" w:cs="Arial"/>
                <w:sz w:val="22"/>
                <w:szCs w:val="22"/>
                <w:lang w:eastAsia="en-AU"/>
              </w:rPr>
              <w:t>PrEP</w:t>
            </w:r>
            <w:proofErr w:type="spellEnd"/>
            <w:r w:rsidRPr="00660D90">
              <w:rPr>
                <w:rFonts w:ascii="Gill Sans MT" w:hAnsi="Gill Sans MT" w:cs="Arial"/>
                <w:sz w:val="22"/>
                <w:szCs w:val="22"/>
                <w:lang w:eastAsia="en-AU"/>
              </w:rPr>
              <w:t>)</w:t>
            </w:r>
            <w:r w:rsidR="00B46504">
              <w:rPr>
                <w:rFonts w:ascii="Gill Sans MT" w:hAnsi="Gill Sans MT" w:cs="Arial"/>
                <w:sz w:val="22"/>
                <w:szCs w:val="22"/>
                <w:lang w:eastAsia="en-AU"/>
              </w:rPr>
              <w:t>.</w:t>
            </w:r>
          </w:p>
          <w:p w:rsidR="00180CEE" w:rsidRPr="00660D90" w:rsidRDefault="00180CEE" w:rsidP="00660D90">
            <w:pPr>
              <w:pStyle w:val="DHHStablebullet"/>
              <w:spacing w:before="0" w:after="140" w:line="300" w:lineRule="atLeast"/>
              <w:ind w:left="510" w:hanging="510"/>
              <w:contextualSpacing/>
              <w:rPr>
                <w:rFonts w:ascii="Gill Sans MT" w:hAnsi="Gill Sans MT" w:cs="Arial"/>
                <w:sz w:val="22"/>
                <w:szCs w:val="22"/>
                <w:lang w:eastAsia="en-AU"/>
              </w:rPr>
            </w:pPr>
            <w:r w:rsidRPr="00660D90">
              <w:rPr>
                <w:rFonts w:ascii="Gill Sans MT" w:hAnsi="Gill Sans MT" w:cs="Arial"/>
                <w:sz w:val="22"/>
                <w:szCs w:val="22"/>
                <w:lang w:eastAsia="en-AU"/>
              </w:rPr>
              <w:t>Methamphetamine use, which may increase the risk of HIV acquisition)</w:t>
            </w:r>
            <w:r w:rsidR="00B46504">
              <w:rPr>
                <w:rFonts w:ascii="Gill Sans MT" w:hAnsi="Gill Sans MT" w:cs="Arial"/>
                <w:sz w:val="22"/>
                <w:szCs w:val="22"/>
                <w:lang w:eastAsia="en-AU"/>
              </w:rPr>
              <w:t>.</w:t>
            </w:r>
          </w:p>
          <w:p w:rsidR="00180CEE" w:rsidRPr="00660D90" w:rsidRDefault="00180CEE" w:rsidP="00180CEE">
            <w:pPr>
              <w:pStyle w:val="DHHStabletext"/>
              <w:spacing w:before="0" w:after="140" w:line="300" w:lineRule="atLeast"/>
              <w:rPr>
                <w:rFonts w:ascii="Gill Sans MT" w:hAnsi="Gill Sans MT" w:cs="Arial"/>
                <w:b/>
                <w:sz w:val="22"/>
                <w:szCs w:val="22"/>
                <w:lang w:eastAsia="en-AU"/>
              </w:rPr>
            </w:pPr>
            <w:r w:rsidRPr="00660D90">
              <w:rPr>
                <w:rFonts w:ascii="Gill Sans MT" w:hAnsi="Gill Sans MT" w:cs="Arial"/>
                <w:b/>
                <w:sz w:val="22"/>
                <w:szCs w:val="22"/>
                <w:lang w:eastAsia="en-AU"/>
              </w:rPr>
              <w:t>And</w:t>
            </w:r>
            <w:r w:rsidRPr="00660D90">
              <w:rPr>
                <w:rFonts w:ascii="Gill Sans MT" w:hAnsi="Gill Sans MT" w:cs="Arial"/>
                <w:b/>
                <w:iCs/>
                <w:sz w:val="22"/>
                <w:szCs w:val="22"/>
                <w:lang w:eastAsia="en-AU"/>
              </w:rPr>
              <w:t xml:space="preserve">: </w:t>
            </w:r>
          </w:p>
          <w:p w:rsidR="00180CEE" w:rsidRPr="00660D90" w:rsidRDefault="00180CEE" w:rsidP="00362C24">
            <w:pPr>
              <w:pStyle w:val="DHHStablebullet"/>
              <w:numPr>
                <w:ilvl w:val="6"/>
                <w:numId w:val="5"/>
              </w:numPr>
              <w:spacing w:before="0" w:after="140" w:line="300" w:lineRule="atLeast"/>
              <w:ind w:left="513" w:hanging="513"/>
              <w:rPr>
                <w:rFonts w:ascii="Gill Sans MT" w:hAnsi="Gill Sans MT" w:cs="Arial"/>
                <w:sz w:val="22"/>
                <w:szCs w:val="22"/>
                <w:lang w:eastAsia="en-AU"/>
              </w:rPr>
            </w:pPr>
            <w:r w:rsidRPr="00660D90">
              <w:rPr>
                <w:rFonts w:ascii="Gill Sans MT" w:hAnsi="Gill Sans MT" w:cs="Arial"/>
                <w:sz w:val="22"/>
                <w:szCs w:val="22"/>
                <w:lang w:eastAsia="en-AU"/>
              </w:rPr>
              <w:t xml:space="preserve">Being likely to have multiple episodes of CLAI, with or without sharing intravenous drug equipment, in the next </w:t>
            </w:r>
            <w:r w:rsidR="00660D90" w:rsidRPr="00660D90">
              <w:rPr>
                <w:rFonts w:ascii="Gill Sans MT" w:hAnsi="Gill Sans MT" w:cs="Arial"/>
                <w:sz w:val="22"/>
                <w:szCs w:val="22"/>
                <w:lang w:eastAsia="en-AU"/>
              </w:rPr>
              <w:t>three</w:t>
            </w:r>
            <w:r w:rsidRPr="00660D90">
              <w:rPr>
                <w:rFonts w:ascii="Gill Sans MT" w:hAnsi="Gill Sans MT" w:cs="Arial"/>
                <w:sz w:val="22"/>
                <w:szCs w:val="22"/>
                <w:lang w:eastAsia="en-AU"/>
              </w:rPr>
              <w:t xml:space="preserve"> months (indicating sustained risk)</w:t>
            </w:r>
            <w:r w:rsidR="00B46504">
              <w:rPr>
                <w:rFonts w:ascii="Gill Sans MT" w:hAnsi="Gill Sans MT" w:cs="Arial"/>
                <w:sz w:val="22"/>
                <w:szCs w:val="22"/>
                <w:lang w:eastAsia="en-AU"/>
              </w:rPr>
              <w:t>.</w:t>
            </w:r>
          </w:p>
        </w:tc>
      </w:tr>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B. Medium risk – consider prescribing daily </w:t>
            </w:r>
            <w:proofErr w:type="spellStart"/>
            <w:r w:rsidRPr="00180CEE">
              <w:rPr>
                <w:rFonts w:ascii="Gill Sans MT" w:hAnsi="Gill Sans MT" w:cs="Arial"/>
                <w:lang w:eastAsia="en-AU"/>
              </w:rPr>
              <w:t>PrEP</w:t>
            </w:r>
            <w:proofErr w:type="spellEnd"/>
          </w:p>
        </w:tc>
      </w:tr>
      <w:tr w:rsidR="00180CEE" w:rsidRPr="00180CEE" w:rsidTr="00F2210D">
        <w:trPr>
          <w:jc w:val="center"/>
        </w:trPr>
        <w:tc>
          <w:tcPr>
            <w:tcW w:w="9406" w:type="dxa"/>
            <w:tcBorders>
              <w:bottom w:val="single" w:sz="4" w:space="0" w:color="auto"/>
            </w:tcBorders>
            <w:shd w:val="clear" w:color="auto" w:fill="auto"/>
          </w:tcPr>
          <w:p w:rsidR="00180CEE" w:rsidRPr="00660D90" w:rsidRDefault="00180CEE" w:rsidP="00180CEE">
            <w:pPr>
              <w:pStyle w:val="DHHStabletext"/>
              <w:spacing w:before="0" w:after="140" w:line="300" w:lineRule="atLeast"/>
              <w:rPr>
                <w:rFonts w:ascii="Gill Sans MT" w:hAnsi="Gill Sans MT" w:cs="Arial"/>
                <w:b/>
                <w:sz w:val="22"/>
                <w:szCs w:val="22"/>
                <w:lang w:eastAsia="en-AU"/>
              </w:rPr>
            </w:pPr>
            <w:r w:rsidRPr="00660D90">
              <w:rPr>
                <w:rFonts w:ascii="Gill Sans MT" w:hAnsi="Gill Sans MT" w:cs="Arial"/>
                <w:b/>
                <w:sz w:val="22"/>
                <w:szCs w:val="22"/>
                <w:lang w:eastAsia="en-AU"/>
              </w:rPr>
              <w:t xml:space="preserve">If the client acknowledges having had any of the following in the last </w:t>
            </w:r>
            <w:r w:rsidR="00660D90" w:rsidRPr="00660D90">
              <w:rPr>
                <w:rFonts w:ascii="Gill Sans MT" w:hAnsi="Gill Sans MT" w:cs="Arial"/>
                <w:b/>
                <w:sz w:val="22"/>
                <w:szCs w:val="22"/>
                <w:lang w:eastAsia="en-AU"/>
              </w:rPr>
              <w:t>three</w:t>
            </w:r>
            <w:r w:rsidRPr="00660D90">
              <w:rPr>
                <w:rFonts w:ascii="Gill Sans MT" w:hAnsi="Gill Sans MT" w:cs="Arial"/>
                <w:b/>
                <w:sz w:val="22"/>
                <w:szCs w:val="22"/>
                <w:lang w:eastAsia="en-AU"/>
              </w:rPr>
              <w:t xml:space="preserve"> months: </w:t>
            </w:r>
          </w:p>
          <w:p w:rsidR="00180CEE" w:rsidRPr="00660D90" w:rsidRDefault="00180CEE" w:rsidP="00362C24">
            <w:pPr>
              <w:pStyle w:val="DHHStablebullet"/>
              <w:numPr>
                <w:ilvl w:val="0"/>
                <w:numId w:val="6"/>
              </w:numPr>
              <w:spacing w:before="0" w:after="140" w:line="300" w:lineRule="atLeast"/>
              <w:ind w:left="510" w:hanging="510"/>
              <w:contextualSpacing/>
              <w:rPr>
                <w:rFonts w:ascii="Gill Sans MT" w:hAnsi="Gill Sans MT" w:cs="Arial"/>
                <w:sz w:val="22"/>
                <w:szCs w:val="22"/>
                <w:lang w:eastAsia="en-AU"/>
              </w:rPr>
            </w:pPr>
            <w:r w:rsidRPr="00660D90">
              <w:rPr>
                <w:rFonts w:ascii="Gill Sans MT" w:hAnsi="Gill Sans MT" w:cs="Arial"/>
                <w:sz w:val="22"/>
                <w:szCs w:val="22"/>
                <w:lang w:eastAsia="en-AU"/>
              </w:rPr>
              <w:t>More than one episode of anal intercourse in the last three months when proper</w:t>
            </w:r>
            <w:r w:rsidR="00660D90" w:rsidRPr="00660D90">
              <w:rPr>
                <w:rFonts w:ascii="Gill Sans MT" w:hAnsi="Gill Sans MT" w:cs="Arial"/>
                <w:sz w:val="22"/>
                <w:szCs w:val="22"/>
                <w:lang w:eastAsia="en-AU"/>
              </w:rPr>
              <w:t xml:space="preserve"> condom use was not achieved (eg</w:t>
            </w:r>
            <w:r w:rsidRPr="00660D90">
              <w:rPr>
                <w:rFonts w:ascii="Gill Sans MT" w:hAnsi="Gill Sans MT" w:cs="Arial"/>
                <w:sz w:val="22"/>
                <w:szCs w:val="22"/>
                <w:lang w:eastAsia="en-AU"/>
              </w:rPr>
              <w:t xml:space="preserve"> condom slipped off or broke) where the </w:t>
            </w:r>
            <w:proofErr w:type="spellStart"/>
            <w:r w:rsidRPr="00660D90">
              <w:rPr>
                <w:rFonts w:ascii="Gill Sans MT" w:hAnsi="Gill Sans MT" w:cs="Arial"/>
                <w:sz w:val="22"/>
                <w:szCs w:val="22"/>
                <w:lang w:eastAsia="en-AU"/>
              </w:rPr>
              <w:t>serostatus</w:t>
            </w:r>
            <w:proofErr w:type="spellEnd"/>
            <w:r w:rsidRPr="00660D90">
              <w:rPr>
                <w:rFonts w:ascii="Gill Sans MT" w:hAnsi="Gill Sans MT" w:cs="Arial"/>
                <w:sz w:val="22"/>
                <w:szCs w:val="22"/>
                <w:lang w:eastAsia="en-AU"/>
              </w:rPr>
              <w:t xml:space="preserve"> of partner was not known, or was HIV+ and not on treatment or with a detectable viral load</w:t>
            </w:r>
            <w:r w:rsidR="00B46504">
              <w:rPr>
                <w:rFonts w:ascii="Gill Sans MT" w:hAnsi="Gill Sans MT" w:cs="Arial"/>
                <w:sz w:val="22"/>
                <w:szCs w:val="22"/>
                <w:lang w:eastAsia="en-AU"/>
              </w:rPr>
              <w:t>.</w:t>
            </w:r>
          </w:p>
          <w:p w:rsidR="00180CEE" w:rsidRPr="00660D90" w:rsidRDefault="00180CEE" w:rsidP="00362C24">
            <w:pPr>
              <w:pStyle w:val="DHHStablebullet"/>
              <w:numPr>
                <w:ilvl w:val="0"/>
                <w:numId w:val="6"/>
              </w:numPr>
              <w:spacing w:before="0" w:after="140" w:line="300" w:lineRule="atLeast"/>
              <w:ind w:left="513" w:hanging="513"/>
              <w:rPr>
                <w:rFonts w:ascii="Gill Sans MT" w:hAnsi="Gill Sans MT" w:cs="Arial"/>
                <w:sz w:val="22"/>
                <w:szCs w:val="22"/>
                <w:lang w:eastAsia="en-AU"/>
              </w:rPr>
            </w:pPr>
            <w:r w:rsidRPr="00660D90">
              <w:rPr>
                <w:rFonts w:ascii="Gill Sans MT" w:hAnsi="Gill Sans MT" w:cs="Arial"/>
                <w:sz w:val="22"/>
                <w:szCs w:val="22"/>
                <w:lang w:eastAsia="en-AU"/>
              </w:rPr>
              <w:t xml:space="preserve">(If patient is uncircumcised) more than one episode of </w:t>
            </w:r>
            <w:proofErr w:type="spellStart"/>
            <w:r w:rsidRPr="00660D90">
              <w:rPr>
                <w:rFonts w:ascii="Gill Sans MT" w:hAnsi="Gill Sans MT" w:cs="Arial"/>
                <w:sz w:val="22"/>
                <w:szCs w:val="22"/>
                <w:lang w:eastAsia="en-AU"/>
              </w:rPr>
              <w:t>insertive</w:t>
            </w:r>
            <w:proofErr w:type="spellEnd"/>
            <w:r w:rsidRPr="00660D90">
              <w:rPr>
                <w:rFonts w:ascii="Gill Sans MT" w:hAnsi="Gill Sans MT" w:cs="Arial"/>
                <w:sz w:val="22"/>
                <w:szCs w:val="22"/>
                <w:lang w:eastAsia="en-AU"/>
              </w:rPr>
              <w:t xml:space="preserve"> CLAI where the </w:t>
            </w:r>
            <w:proofErr w:type="spellStart"/>
            <w:r w:rsidRPr="00660D90">
              <w:rPr>
                <w:rFonts w:ascii="Gill Sans MT" w:hAnsi="Gill Sans MT" w:cs="Arial"/>
                <w:sz w:val="22"/>
                <w:szCs w:val="22"/>
                <w:lang w:eastAsia="en-AU"/>
              </w:rPr>
              <w:t>serostatus</w:t>
            </w:r>
            <w:proofErr w:type="spellEnd"/>
            <w:r w:rsidRPr="00660D90">
              <w:rPr>
                <w:rFonts w:ascii="Gill Sans MT" w:hAnsi="Gill Sans MT" w:cs="Arial"/>
                <w:sz w:val="22"/>
                <w:szCs w:val="22"/>
                <w:lang w:eastAsia="en-AU"/>
              </w:rPr>
              <w:t xml:space="preserve"> of any partner was not known or was HIV+ and not on treatment or with a detectable viral load</w:t>
            </w:r>
            <w:r w:rsidR="00B46504">
              <w:rPr>
                <w:rFonts w:ascii="Gill Sans MT" w:hAnsi="Gill Sans MT" w:cs="Arial"/>
                <w:sz w:val="22"/>
                <w:szCs w:val="22"/>
                <w:lang w:eastAsia="en-AU"/>
              </w:rPr>
              <w:t>.</w:t>
            </w:r>
          </w:p>
          <w:p w:rsidR="00180CEE" w:rsidRPr="00660D90" w:rsidRDefault="00180CEE" w:rsidP="00660D90">
            <w:pPr>
              <w:pStyle w:val="DHHStabletext"/>
              <w:spacing w:before="0" w:after="140" w:line="300" w:lineRule="atLeast"/>
              <w:contextualSpacing/>
              <w:rPr>
                <w:rFonts w:ascii="Gill Sans MT" w:hAnsi="Gill Sans MT" w:cs="Arial"/>
                <w:b/>
                <w:sz w:val="22"/>
                <w:szCs w:val="22"/>
                <w:lang w:eastAsia="en-AU"/>
              </w:rPr>
            </w:pPr>
            <w:r w:rsidRPr="00660D90">
              <w:rPr>
                <w:rFonts w:ascii="Gill Sans MT" w:hAnsi="Gill Sans MT" w:cs="Arial"/>
                <w:b/>
                <w:sz w:val="22"/>
                <w:szCs w:val="22"/>
                <w:lang w:eastAsia="en-AU"/>
              </w:rPr>
              <w:t>And</w:t>
            </w:r>
            <w:r w:rsidRPr="00660D90">
              <w:rPr>
                <w:rFonts w:ascii="Gill Sans MT" w:hAnsi="Gill Sans MT" w:cs="Arial"/>
                <w:b/>
                <w:iCs/>
                <w:sz w:val="22"/>
                <w:szCs w:val="22"/>
                <w:lang w:eastAsia="en-AU"/>
              </w:rPr>
              <w:t xml:space="preserve">: </w:t>
            </w:r>
          </w:p>
          <w:p w:rsidR="00180CEE" w:rsidRPr="00180CEE" w:rsidRDefault="00180CEE" w:rsidP="00660D90">
            <w:pPr>
              <w:pStyle w:val="DHHStablebullet"/>
              <w:spacing w:before="0" w:after="140" w:line="300" w:lineRule="atLeast"/>
              <w:ind w:left="513" w:hanging="513"/>
              <w:rPr>
                <w:rFonts w:ascii="Gill Sans MT" w:hAnsi="Gill Sans MT" w:cs="Arial"/>
                <w:lang w:eastAsia="en-AU"/>
              </w:rPr>
            </w:pPr>
            <w:r w:rsidRPr="00660D90">
              <w:rPr>
                <w:rFonts w:ascii="Gill Sans MT" w:hAnsi="Gill Sans MT" w:cs="Arial"/>
                <w:sz w:val="22"/>
                <w:szCs w:val="22"/>
                <w:lang w:eastAsia="en-AU"/>
              </w:rPr>
              <w:t xml:space="preserve">Being likely to have multiple episodes of CLAI, with or without sharing intravenous drug equipment, in the next </w:t>
            </w:r>
            <w:r w:rsidR="00660D90" w:rsidRPr="00660D90">
              <w:rPr>
                <w:rFonts w:ascii="Gill Sans MT" w:hAnsi="Gill Sans MT" w:cs="Arial"/>
                <w:sz w:val="22"/>
                <w:szCs w:val="22"/>
                <w:lang w:eastAsia="en-AU"/>
              </w:rPr>
              <w:t>three</w:t>
            </w:r>
            <w:r w:rsidRPr="00660D90">
              <w:rPr>
                <w:rFonts w:ascii="Gill Sans MT" w:hAnsi="Gill Sans MT" w:cs="Arial"/>
                <w:sz w:val="22"/>
                <w:szCs w:val="22"/>
                <w:lang w:eastAsia="en-AU"/>
              </w:rPr>
              <w:t xml:space="preserve"> months (indicating sustained risk)</w:t>
            </w:r>
            <w:r w:rsidR="00B46504">
              <w:rPr>
                <w:rFonts w:ascii="Gill Sans MT" w:hAnsi="Gill Sans MT" w:cs="Arial"/>
                <w:sz w:val="22"/>
                <w:szCs w:val="22"/>
                <w:lang w:eastAsia="en-AU"/>
              </w:rPr>
              <w:t>.</w:t>
            </w:r>
          </w:p>
        </w:tc>
      </w:tr>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C. Low risk –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is not recommended </w:t>
            </w:r>
          </w:p>
        </w:tc>
      </w:tr>
      <w:tr w:rsidR="00180CEE" w:rsidRPr="00180CEE" w:rsidTr="00F2210D">
        <w:trPr>
          <w:trHeight w:val="1304"/>
          <w:jc w:val="center"/>
        </w:trPr>
        <w:tc>
          <w:tcPr>
            <w:tcW w:w="9406" w:type="dxa"/>
            <w:tcBorders>
              <w:bottom w:val="single" w:sz="4" w:space="0" w:color="auto"/>
            </w:tcBorders>
            <w:shd w:val="clear" w:color="auto" w:fill="auto"/>
          </w:tcPr>
          <w:p w:rsidR="00180CEE" w:rsidRPr="00180CEE" w:rsidRDefault="00180CEE" w:rsidP="00180CEE">
            <w:pPr>
              <w:pStyle w:val="DHHStabletext"/>
              <w:spacing w:before="0" w:after="140" w:line="300" w:lineRule="atLeast"/>
              <w:rPr>
                <w:rFonts w:ascii="Gill Sans MT" w:eastAsia="Times" w:hAnsi="Gill Sans MT" w:cs="Arial"/>
                <w:b/>
                <w:lang w:eastAsia="en-AU"/>
              </w:rPr>
            </w:pPr>
            <w:r w:rsidRPr="00180CEE">
              <w:rPr>
                <w:rFonts w:ascii="Gill Sans MT" w:eastAsia="Times" w:hAnsi="Gill Sans MT" w:cs="Arial"/>
                <w:b/>
                <w:lang w:eastAsia="en-AU"/>
              </w:rPr>
              <w:lastRenderedPageBreak/>
              <w:t xml:space="preserve">For individuals who: </w:t>
            </w:r>
          </w:p>
          <w:p w:rsidR="00180CEE" w:rsidRPr="00180CEE" w:rsidRDefault="00180CEE" w:rsidP="00660D90">
            <w:pPr>
              <w:pStyle w:val="DHHStablebullet"/>
              <w:spacing w:before="0" w:after="140" w:line="300" w:lineRule="atLeast"/>
              <w:ind w:left="510" w:hanging="510"/>
              <w:contextualSpacing/>
              <w:rPr>
                <w:rFonts w:ascii="Gill Sans MT" w:hAnsi="Gill Sans MT" w:cs="Arial"/>
                <w:lang w:eastAsia="en-AU"/>
              </w:rPr>
            </w:pPr>
            <w:r w:rsidRPr="00180CEE">
              <w:rPr>
                <w:rFonts w:ascii="Gill Sans MT" w:hAnsi="Gill Sans MT" w:cs="Arial"/>
                <w:lang w:eastAsia="en-AU"/>
              </w:rPr>
              <w:t xml:space="preserve">Have no risk exposure other than CLAI with a partner with documented sustained undetectable HIV viral load in the previous three months. In this setting however, if the HIV-positive partner has recurrent STIs,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may be considered</w:t>
            </w:r>
            <w:r w:rsidR="00B46504">
              <w:rPr>
                <w:rFonts w:ascii="Gill Sans MT" w:hAnsi="Gill Sans MT" w:cs="Arial"/>
                <w:lang w:eastAsia="en-AU"/>
              </w:rPr>
              <w:t>.</w:t>
            </w:r>
          </w:p>
          <w:p w:rsidR="00180CEE" w:rsidRPr="00180CEE" w:rsidRDefault="00180CEE" w:rsidP="00B46504">
            <w:pPr>
              <w:pStyle w:val="DHHStablebullet"/>
              <w:spacing w:before="0" w:after="140" w:line="300" w:lineRule="atLeast"/>
              <w:ind w:left="510" w:hanging="510"/>
              <w:contextualSpacing/>
              <w:rPr>
                <w:rFonts w:ascii="Gill Sans MT" w:hAnsi="Gill Sans MT" w:cs="Arial"/>
                <w:lang w:eastAsia="en-AU"/>
              </w:rPr>
            </w:pPr>
            <w:r w:rsidRPr="00180CEE">
              <w:rPr>
                <w:rFonts w:ascii="Gill Sans MT" w:hAnsi="Gill Sans MT" w:cs="Arial"/>
                <w:lang w:eastAsia="en-AU"/>
              </w:rPr>
              <w:t xml:space="preserve">Are circumcised and report practising exclusively </w:t>
            </w:r>
            <w:proofErr w:type="spellStart"/>
            <w:r w:rsidRPr="00180CEE">
              <w:rPr>
                <w:rFonts w:ascii="Gill Sans MT" w:hAnsi="Gill Sans MT" w:cs="Arial"/>
                <w:lang w:eastAsia="en-AU"/>
              </w:rPr>
              <w:t>insertive</w:t>
            </w:r>
            <w:proofErr w:type="spellEnd"/>
            <w:r w:rsidRPr="00180CEE">
              <w:rPr>
                <w:rFonts w:ascii="Gill Sans MT" w:hAnsi="Gill Sans MT" w:cs="Arial"/>
                <w:lang w:eastAsia="en-AU"/>
              </w:rPr>
              <w:t xml:space="preserve"> CLAI in the last three months. </w:t>
            </w:r>
          </w:p>
        </w:tc>
      </w:tr>
      <w:tr w:rsidR="00180CEE" w:rsidRPr="00180CEE" w:rsidTr="00F2210D">
        <w:trPr>
          <w:jc w:val="center"/>
        </w:trPr>
        <w:tc>
          <w:tcPr>
            <w:tcW w:w="9406" w:type="dxa"/>
            <w:shd w:val="clear" w:color="auto" w:fill="CCDCEE"/>
          </w:tcPr>
          <w:p w:rsidR="00180CEE" w:rsidRPr="00180CEE" w:rsidRDefault="00180CEE" w:rsidP="00180CEE">
            <w:pPr>
              <w:pStyle w:val="DHHStablefigurenote"/>
              <w:spacing w:before="0" w:after="140" w:line="300" w:lineRule="atLeast"/>
              <w:rPr>
                <w:rFonts w:ascii="Gill Sans MT" w:hAnsi="Gill Sans MT" w:cs="Arial"/>
                <w:lang w:eastAsia="en-AU"/>
              </w:rPr>
            </w:pPr>
            <w:r w:rsidRPr="00180CEE">
              <w:rPr>
                <w:rFonts w:ascii="Gill Sans MT" w:hAnsi="Gill Sans MT" w:cs="Arial"/>
                <w:lang w:eastAsia="en-AU"/>
              </w:rPr>
              <w:t>Note: MSM who have only</w:t>
            </w:r>
            <w:r w:rsidR="002F3599">
              <w:rPr>
                <w:rFonts w:ascii="Gill Sans MT" w:hAnsi="Gill Sans MT" w:cs="Arial"/>
                <w:lang w:eastAsia="en-AU"/>
              </w:rPr>
              <w:t xml:space="preserve"> infrequent exposures to HIV (eg</w:t>
            </w:r>
            <w:r w:rsidRPr="00180CEE">
              <w:rPr>
                <w:rFonts w:ascii="Gill Sans MT" w:hAnsi="Gill Sans MT" w:cs="Arial"/>
                <w:lang w:eastAsia="en-AU"/>
              </w:rPr>
              <w:t xml:space="preserve"> an occasional broken condom or lapse in condom use) may be good candidates for PEP rather than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These men, as well as men who fall into low risk category C, should be educated about safer sex strategies, PEP and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and decisions about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use should be made on a case-by-case basis.</w:t>
            </w:r>
          </w:p>
        </w:tc>
      </w:tr>
    </w:tbl>
    <w:p w:rsidR="00180CEE" w:rsidRPr="00180CEE" w:rsidRDefault="00180CEE" w:rsidP="009C2216">
      <w:pPr>
        <w:pStyle w:val="Heading2"/>
        <w:spacing w:after="140" w:line="300" w:lineRule="atLeast"/>
        <w:rPr>
          <w:rFonts w:ascii="Gill Sans MT" w:hAnsi="Gill Sans MT" w:cs="Arial"/>
          <w:lang w:eastAsia="en-AU"/>
        </w:rPr>
      </w:pPr>
      <w:bookmarkStart w:id="21" w:name="_Toc511722709"/>
      <w:r w:rsidRPr="00180CEE">
        <w:rPr>
          <w:rFonts w:ascii="Gill Sans MT" w:hAnsi="Gill Sans MT" w:cs="Arial"/>
          <w:lang w:eastAsia="en-AU"/>
        </w:rPr>
        <w:t xml:space="preserve">Behavioural </w:t>
      </w:r>
      <w:r w:rsidRPr="00180CEE">
        <w:rPr>
          <w:rFonts w:ascii="Gill Sans MT" w:hAnsi="Gill Sans MT" w:cs="Arial"/>
        </w:rPr>
        <w:t>eligibility</w:t>
      </w:r>
      <w:r w:rsidRPr="00180CEE">
        <w:rPr>
          <w:rFonts w:ascii="Gill Sans MT" w:hAnsi="Gill Sans MT" w:cs="Arial"/>
          <w:lang w:eastAsia="en-AU"/>
        </w:rPr>
        <w:t xml:space="preserve"> criteria for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for heterosexual people</w:t>
      </w:r>
      <w:bookmarkEnd w:id="21"/>
      <w:r w:rsidRPr="00180CEE">
        <w:rPr>
          <w:rFonts w:ascii="Gill Sans MT" w:hAnsi="Gill Sans MT" w:cs="Arial"/>
          <w:lang w:eastAsia="en-AU"/>
        </w:rPr>
        <w:t xml:space="preserve"> </w:t>
      </w:r>
    </w:p>
    <w:p w:rsidR="00180CEE" w:rsidRPr="00180CEE" w:rsidRDefault="00180CEE" w:rsidP="00180CEE">
      <w:pPr>
        <w:pStyle w:val="DHHSbody"/>
        <w:spacing w:after="140" w:line="300" w:lineRule="atLeast"/>
        <w:rPr>
          <w:rFonts w:ascii="Gill Sans MT" w:hAnsi="Gill Sans MT" w:cs="Arial"/>
        </w:rPr>
      </w:pPr>
      <w:r w:rsidRPr="00180CEE">
        <w:rPr>
          <w:rFonts w:ascii="Gill Sans MT" w:hAnsi="Gill Sans MT" w:cs="Arial"/>
        </w:rPr>
        <w:t>(Men and women who exclusively have sex with people of the opposite sex)</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A. High risk – recommend prescribing daily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w:t>
            </w:r>
          </w:p>
        </w:tc>
      </w:tr>
      <w:tr w:rsidR="00180CEE" w:rsidRPr="00180CEE" w:rsidTr="00F2210D">
        <w:trPr>
          <w:jc w:val="center"/>
        </w:trPr>
        <w:tc>
          <w:tcPr>
            <w:tcW w:w="9406" w:type="dxa"/>
            <w:shd w:val="clear" w:color="auto" w:fill="auto"/>
          </w:tcPr>
          <w:p w:rsidR="00180CEE" w:rsidRPr="00B46504" w:rsidRDefault="00180CEE" w:rsidP="00180CEE">
            <w:pPr>
              <w:pStyle w:val="DHHStabletext"/>
              <w:spacing w:before="0" w:after="140" w:line="300" w:lineRule="atLeast"/>
              <w:rPr>
                <w:rFonts w:ascii="Gill Sans MT" w:hAnsi="Gill Sans MT" w:cs="Arial"/>
                <w:b/>
                <w:iCs/>
                <w:sz w:val="22"/>
                <w:szCs w:val="22"/>
                <w:lang w:eastAsia="en-AU"/>
              </w:rPr>
            </w:pPr>
            <w:r w:rsidRPr="00B46504">
              <w:rPr>
                <w:rFonts w:ascii="Gill Sans MT" w:hAnsi="Gill Sans MT" w:cs="Arial"/>
                <w:b/>
                <w:iCs/>
                <w:sz w:val="22"/>
                <w:szCs w:val="22"/>
                <w:lang w:eastAsia="en-AU"/>
              </w:rPr>
              <w:t xml:space="preserve">If the patient acknowledges having had any of the following in the last </w:t>
            </w:r>
            <w:r w:rsidR="00B46504">
              <w:rPr>
                <w:rFonts w:ascii="Gill Sans MT" w:hAnsi="Gill Sans MT" w:cs="Arial"/>
                <w:b/>
                <w:iCs/>
                <w:sz w:val="22"/>
                <w:szCs w:val="22"/>
                <w:lang w:eastAsia="en-AU"/>
              </w:rPr>
              <w:t>three</w:t>
            </w:r>
            <w:r w:rsidRPr="00B46504">
              <w:rPr>
                <w:rFonts w:ascii="Gill Sans MT" w:hAnsi="Gill Sans MT" w:cs="Arial"/>
                <w:b/>
                <w:iCs/>
                <w:sz w:val="22"/>
                <w:szCs w:val="22"/>
                <w:lang w:eastAsia="en-AU"/>
              </w:rPr>
              <w:t xml:space="preserve"> months: </w:t>
            </w:r>
          </w:p>
          <w:p w:rsidR="00180CEE" w:rsidRPr="00B46504" w:rsidRDefault="00180CEE" w:rsidP="00B46504">
            <w:pPr>
              <w:pStyle w:val="DHHStablebullet"/>
              <w:spacing w:before="0" w:after="140" w:line="300" w:lineRule="atLeast"/>
              <w:ind w:left="513" w:hanging="513"/>
              <w:rPr>
                <w:rFonts w:ascii="Gill Sans MT" w:hAnsi="Gill Sans MT" w:cs="Arial"/>
                <w:sz w:val="22"/>
                <w:szCs w:val="22"/>
                <w:lang w:eastAsia="en-AU"/>
              </w:rPr>
            </w:pPr>
            <w:r w:rsidRPr="00B46504">
              <w:rPr>
                <w:rFonts w:ascii="Gill Sans MT" w:hAnsi="Gill Sans MT" w:cs="Arial"/>
                <w:sz w:val="22"/>
                <w:szCs w:val="22"/>
                <w:lang w:eastAsia="en-AU"/>
              </w:rPr>
              <w:t>Being a regular sexual partner of an HIV+ person (not on treatment and/or with detectable viral load) with whom condoms have not been consistently used</w:t>
            </w:r>
          </w:p>
          <w:p w:rsidR="00180CEE" w:rsidRPr="00B46504" w:rsidRDefault="00180CEE" w:rsidP="00B46504">
            <w:pPr>
              <w:pStyle w:val="DHHStablebullet"/>
              <w:spacing w:before="0" w:after="140" w:line="300" w:lineRule="atLeast"/>
              <w:ind w:left="513" w:hanging="513"/>
              <w:rPr>
                <w:rFonts w:ascii="Gill Sans MT" w:hAnsi="Gill Sans MT" w:cs="Arial"/>
                <w:sz w:val="22"/>
                <w:szCs w:val="22"/>
                <w:lang w:eastAsia="en-AU"/>
              </w:rPr>
            </w:pPr>
            <w:r w:rsidRPr="00B46504">
              <w:rPr>
                <w:rFonts w:ascii="Gill Sans MT" w:hAnsi="Gill Sans MT" w:cs="Arial"/>
                <w:sz w:val="22"/>
                <w:szCs w:val="22"/>
                <w:lang w:eastAsia="en-AU"/>
              </w:rPr>
              <w:t xml:space="preserve">At least one episode of receptive anal or vaginal </w:t>
            </w:r>
            <w:proofErr w:type="spellStart"/>
            <w:r w:rsidRPr="00B46504">
              <w:rPr>
                <w:rFonts w:ascii="Gill Sans MT" w:hAnsi="Gill Sans MT" w:cs="Arial"/>
                <w:sz w:val="22"/>
                <w:szCs w:val="22"/>
                <w:lang w:eastAsia="en-AU"/>
              </w:rPr>
              <w:t>condomless</w:t>
            </w:r>
            <w:proofErr w:type="spellEnd"/>
            <w:r w:rsidRPr="00B46504">
              <w:rPr>
                <w:rFonts w:ascii="Gill Sans MT" w:hAnsi="Gill Sans MT" w:cs="Arial"/>
                <w:sz w:val="22"/>
                <w:szCs w:val="22"/>
                <w:lang w:eastAsia="en-AU"/>
              </w:rPr>
              <w:t xml:space="preserve"> intercourse with any casual HIV+ partner or a male homosexual or bisexual partner of unknown status</w:t>
            </w:r>
          </w:p>
          <w:p w:rsidR="00180CEE" w:rsidRPr="00B46504" w:rsidRDefault="00180CEE" w:rsidP="00B46504">
            <w:pPr>
              <w:pStyle w:val="DHHStablebullet"/>
              <w:spacing w:before="0" w:after="140" w:line="300" w:lineRule="atLeast"/>
              <w:ind w:left="513" w:hanging="513"/>
              <w:rPr>
                <w:rFonts w:ascii="Gill Sans MT" w:hAnsi="Gill Sans MT" w:cs="Arial"/>
                <w:sz w:val="22"/>
                <w:szCs w:val="22"/>
                <w:lang w:eastAsia="en-AU"/>
              </w:rPr>
            </w:pPr>
            <w:r w:rsidRPr="00B46504">
              <w:rPr>
                <w:rFonts w:ascii="Gill Sans MT" w:hAnsi="Gill Sans MT" w:cs="Arial"/>
                <w:sz w:val="22"/>
                <w:szCs w:val="22"/>
                <w:lang w:eastAsia="en-AU"/>
              </w:rPr>
              <w:t xml:space="preserve">A female, in a </w:t>
            </w:r>
            <w:proofErr w:type="spellStart"/>
            <w:r w:rsidRPr="00B46504">
              <w:rPr>
                <w:rFonts w:ascii="Gill Sans MT" w:hAnsi="Gill Sans MT" w:cs="Arial"/>
                <w:sz w:val="22"/>
                <w:szCs w:val="22"/>
                <w:lang w:eastAsia="en-AU"/>
              </w:rPr>
              <w:t>serodiscordant</w:t>
            </w:r>
            <w:proofErr w:type="spellEnd"/>
            <w:r w:rsidRPr="00B46504">
              <w:rPr>
                <w:rFonts w:ascii="Gill Sans MT" w:hAnsi="Gill Sans MT" w:cs="Arial"/>
                <w:sz w:val="22"/>
                <w:szCs w:val="22"/>
                <w:lang w:eastAsia="en-AU"/>
              </w:rPr>
              <w:t xml:space="preserve"> heterosexual relationship, who is planning natural conception in the next </w:t>
            </w:r>
            <w:r w:rsidR="00B46504">
              <w:rPr>
                <w:rFonts w:ascii="Gill Sans MT" w:hAnsi="Gill Sans MT" w:cs="Arial"/>
                <w:sz w:val="22"/>
                <w:szCs w:val="22"/>
                <w:lang w:eastAsia="en-AU"/>
              </w:rPr>
              <w:t>three</w:t>
            </w:r>
            <w:r w:rsidRPr="00B46504">
              <w:rPr>
                <w:rFonts w:ascii="Gill Sans MT" w:hAnsi="Gill Sans MT" w:cs="Arial"/>
                <w:sz w:val="22"/>
                <w:szCs w:val="22"/>
                <w:lang w:eastAsia="en-AU"/>
              </w:rPr>
              <w:t xml:space="preserve"> months.</w:t>
            </w:r>
          </w:p>
          <w:p w:rsidR="00180CEE" w:rsidRPr="00B46504" w:rsidRDefault="00180CEE" w:rsidP="00180CEE">
            <w:pPr>
              <w:pStyle w:val="DHHStabletext"/>
              <w:spacing w:before="0" w:after="140" w:line="300" w:lineRule="atLeast"/>
              <w:rPr>
                <w:rFonts w:ascii="Gill Sans MT" w:hAnsi="Gill Sans MT" w:cs="Arial"/>
                <w:b/>
                <w:iCs/>
                <w:sz w:val="22"/>
                <w:szCs w:val="22"/>
                <w:lang w:eastAsia="en-AU"/>
              </w:rPr>
            </w:pPr>
            <w:r w:rsidRPr="00B46504">
              <w:rPr>
                <w:rFonts w:ascii="Gill Sans MT" w:hAnsi="Gill Sans MT" w:cs="Arial"/>
                <w:b/>
                <w:iCs/>
                <w:sz w:val="22"/>
                <w:szCs w:val="22"/>
                <w:lang w:eastAsia="en-AU"/>
              </w:rPr>
              <w:t xml:space="preserve">and: </w:t>
            </w:r>
          </w:p>
          <w:p w:rsidR="00180CEE" w:rsidRPr="00180CEE" w:rsidRDefault="00180CEE" w:rsidP="00362C24">
            <w:pPr>
              <w:pStyle w:val="DHHStablebullet"/>
              <w:numPr>
                <w:ilvl w:val="6"/>
                <w:numId w:val="7"/>
              </w:numPr>
              <w:spacing w:before="0" w:after="140" w:line="300" w:lineRule="atLeast"/>
              <w:ind w:left="513" w:hanging="513"/>
              <w:rPr>
                <w:rFonts w:ascii="Gill Sans MT" w:hAnsi="Gill Sans MT" w:cs="Arial"/>
                <w:lang w:eastAsia="en-AU"/>
              </w:rPr>
            </w:pPr>
            <w:r w:rsidRPr="00B46504">
              <w:rPr>
                <w:rFonts w:ascii="Gill Sans MT" w:hAnsi="Gill Sans MT" w:cs="Arial"/>
                <w:sz w:val="22"/>
                <w:szCs w:val="22"/>
                <w:lang w:eastAsia="en-AU"/>
              </w:rPr>
              <w:t xml:space="preserve">Being likely to have multiple episodes of anal or vaginal </w:t>
            </w:r>
            <w:proofErr w:type="spellStart"/>
            <w:r w:rsidRPr="00B46504">
              <w:rPr>
                <w:rFonts w:ascii="Gill Sans MT" w:hAnsi="Gill Sans MT" w:cs="Arial"/>
                <w:sz w:val="22"/>
                <w:szCs w:val="22"/>
                <w:lang w:eastAsia="en-AU"/>
              </w:rPr>
              <w:t>condomless</w:t>
            </w:r>
            <w:proofErr w:type="spellEnd"/>
            <w:r w:rsidRPr="00B46504">
              <w:rPr>
                <w:rFonts w:ascii="Gill Sans MT" w:hAnsi="Gill Sans MT" w:cs="Arial"/>
                <w:sz w:val="22"/>
                <w:szCs w:val="22"/>
                <w:lang w:eastAsia="en-AU"/>
              </w:rPr>
              <w:t xml:space="preserve"> intercourse, with or without sharing intravenous drug equipment, in the next </w:t>
            </w:r>
            <w:r w:rsidR="00B46504">
              <w:rPr>
                <w:rFonts w:ascii="Gill Sans MT" w:hAnsi="Gill Sans MT" w:cs="Arial"/>
                <w:sz w:val="22"/>
                <w:szCs w:val="22"/>
                <w:lang w:eastAsia="en-AU"/>
              </w:rPr>
              <w:t>three</w:t>
            </w:r>
            <w:r w:rsidRPr="00B46504">
              <w:rPr>
                <w:rFonts w:ascii="Gill Sans MT" w:hAnsi="Gill Sans MT" w:cs="Arial"/>
                <w:sz w:val="22"/>
                <w:szCs w:val="22"/>
                <w:lang w:eastAsia="en-AU"/>
              </w:rPr>
              <w:t xml:space="preserve"> months (indicating sustained risk)</w:t>
            </w:r>
            <w:r w:rsidR="00B46504">
              <w:rPr>
                <w:rFonts w:ascii="Gill Sans MT" w:hAnsi="Gill Sans MT" w:cs="Arial"/>
                <w:sz w:val="22"/>
                <w:szCs w:val="22"/>
                <w:lang w:eastAsia="en-AU"/>
              </w:rPr>
              <w:t>.</w:t>
            </w:r>
          </w:p>
        </w:tc>
      </w:tr>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B. Medium risk – consider prescribing daily </w:t>
            </w:r>
            <w:proofErr w:type="spellStart"/>
            <w:r w:rsidRPr="00180CEE">
              <w:rPr>
                <w:rFonts w:ascii="Gill Sans MT" w:hAnsi="Gill Sans MT" w:cs="Arial"/>
                <w:lang w:eastAsia="en-AU"/>
              </w:rPr>
              <w:t>PrEP</w:t>
            </w:r>
            <w:proofErr w:type="spellEnd"/>
          </w:p>
        </w:tc>
      </w:tr>
      <w:tr w:rsidR="00180CEE" w:rsidRPr="00180CEE" w:rsidTr="00F2210D">
        <w:trPr>
          <w:jc w:val="center"/>
        </w:trPr>
        <w:tc>
          <w:tcPr>
            <w:tcW w:w="9406" w:type="dxa"/>
            <w:shd w:val="clear" w:color="auto" w:fill="auto"/>
          </w:tcPr>
          <w:p w:rsidR="00180CEE" w:rsidRPr="008B71AD" w:rsidRDefault="00180CEE" w:rsidP="00180CEE">
            <w:pPr>
              <w:pStyle w:val="DHHStabletext"/>
              <w:spacing w:before="0" w:after="140" w:line="300" w:lineRule="atLeast"/>
              <w:rPr>
                <w:rFonts w:ascii="Gill Sans MT" w:hAnsi="Gill Sans MT" w:cs="Arial"/>
                <w:b/>
                <w:iCs/>
                <w:sz w:val="22"/>
                <w:szCs w:val="22"/>
                <w:lang w:eastAsia="en-AU"/>
              </w:rPr>
            </w:pPr>
            <w:r w:rsidRPr="008B71AD">
              <w:rPr>
                <w:rFonts w:ascii="Gill Sans MT" w:hAnsi="Gill Sans MT" w:cs="Arial"/>
                <w:b/>
                <w:iCs/>
                <w:sz w:val="22"/>
                <w:szCs w:val="22"/>
                <w:lang w:eastAsia="en-AU"/>
              </w:rPr>
              <w:t xml:space="preserve">If the patient acknowledges having had any of the following in the last </w:t>
            </w:r>
            <w:r w:rsidR="002F3599" w:rsidRPr="008B71AD">
              <w:rPr>
                <w:rFonts w:ascii="Gill Sans MT" w:hAnsi="Gill Sans MT" w:cs="Arial"/>
                <w:b/>
                <w:iCs/>
                <w:sz w:val="22"/>
                <w:szCs w:val="22"/>
                <w:lang w:eastAsia="en-AU"/>
              </w:rPr>
              <w:t>three</w:t>
            </w:r>
            <w:r w:rsidRPr="008B71AD">
              <w:rPr>
                <w:rFonts w:ascii="Gill Sans MT" w:hAnsi="Gill Sans MT" w:cs="Arial"/>
                <w:b/>
                <w:iCs/>
                <w:sz w:val="22"/>
                <w:szCs w:val="22"/>
                <w:lang w:eastAsia="en-AU"/>
              </w:rPr>
              <w:t xml:space="preserve"> months: </w:t>
            </w:r>
          </w:p>
          <w:p w:rsidR="00180CEE" w:rsidRPr="008B71AD" w:rsidRDefault="00180CEE" w:rsidP="008B71AD">
            <w:pPr>
              <w:pStyle w:val="DHHStablebullet"/>
              <w:spacing w:before="0" w:after="140" w:line="300" w:lineRule="atLeast"/>
              <w:ind w:left="513" w:hanging="513"/>
              <w:rPr>
                <w:rFonts w:ascii="Gill Sans MT" w:hAnsi="Gill Sans MT" w:cs="Arial"/>
                <w:sz w:val="22"/>
                <w:szCs w:val="22"/>
                <w:lang w:eastAsia="en-AU"/>
              </w:rPr>
            </w:pPr>
            <w:r w:rsidRPr="008B71AD">
              <w:rPr>
                <w:rFonts w:ascii="Gill Sans MT" w:hAnsi="Gill Sans MT" w:cs="Arial"/>
                <w:sz w:val="22"/>
                <w:szCs w:val="22"/>
                <w:lang w:eastAsia="en-AU"/>
              </w:rPr>
              <w:t xml:space="preserve">At least one episode of receptive anal or vaginal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intercourse with a heterosexual partner, not known to be HIV-, from a country with high HIV prevalence</w:t>
            </w:r>
          </w:p>
          <w:p w:rsidR="00180CEE" w:rsidRPr="008B71AD" w:rsidRDefault="00180CEE" w:rsidP="00180CEE">
            <w:pPr>
              <w:pStyle w:val="DHHStablebullet"/>
              <w:numPr>
                <w:ilvl w:val="0"/>
                <w:numId w:val="0"/>
              </w:numPr>
              <w:spacing w:before="0" w:after="140" w:line="300" w:lineRule="atLeast"/>
              <w:rPr>
                <w:rFonts w:ascii="Gill Sans MT" w:hAnsi="Gill Sans MT" w:cs="Arial"/>
                <w:b/>
                <w:sz w:val="22"/>
                <w:szCs w:val="22"/>
                <w:lang w:eastAsia="en-AU"/>
              </w:rPr>
            </w:pPr>
            <w:r w:rsidRPr="008B71AD">
              <w:rPr>
                <w:rFonts w:ascii="Gill Sans MT" w:hAnsi="Gill Sans MT" w:cs="Arial"/>
                <w:b/>
                <w:sz w:val="22"/>
                <w:szCs w:val="22"/>
                <w:lang w:eastAsia="en-AU"/>
              </w:rPr>
              <w:t>and:</w:t>
            </w:r>
          </w:p>
          <w:p w:rsidR="00180CEE" w:rsidRPr="00180CEE" w:rsidRDefault="00180CEE" w:rsidP="00362C24">
            <w:pPr>
              <w:pStyle w:val="DHHStablebullet"/>
              <w:numPr>
                <w:ilvl w:val="6"/>
                <w:numId w:val="8"/>
              </w:numPr>
              <w:spacing w:before="0" w:after="140" w:line="300" w:lineRule="atLeast"/>
              <w:ind w:left="513" w:hanging="513"/>
              <w:rPr>
                <w:rFonts w:ascii="Gill Sans MT" w:hAnsi="Gill Sans MT" w:cs="Arial"/>
                <w:vertAlign w:val="superscript"/>
                <w:lang w:eastAsia="en-AU"/>
              </w:rPr>
            </w:pPr>
            <w:r w:rsidRPr="008B71AD">
              <w:rPr>
                <w:rFonts w:ascii="Gill Sans MT" w:hAnsi="Gill Sans MT" w:cs="Arial"/>
                <w:sz w:val="22"/>
                <w:szCs w:val="22"/>
                <w:lang w:eastAsia="en-AU"/>
              </w:rPr>
              <w:t xml:space="preserve">Being likely to have multiple episodes of anal or vaginal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intercourse with a heterosexual partner, not known to be HIV+, but at high risk of being HIV+ with or without sharing injecting equipment, in the next </w:t>
            </w:r>
            <w:r w:rsidR="002F3599" w:rsidRPr="008B71AD">
              <w:rPr>
                <w:rFonts w:ascii="Gill Sans MT" w:hAnsi="Gill Sans MT" w:cs="Arial"/>
                <w:sz w:val="22"/>
                <w:szCs w:val="22"/>
                <w:lang w:eastAsia="en-AU"/>
              </w:rPr>
              <w:t>three</w:t>
            </w:r>
            <w:r w:rsidRPr="008B71AD">
              <w:rPr>
                <w:rFonts w:ascii="Gill Sans MT" w:hAnsi="Gill Sans MT" w:cs="Arial"/>
                <w:sz w:val="22"/>
                <w:szCs w:val="22"/>
                <w:lang w:eastAsia="en-AU"/>
              </w:rPr>
              <w:t xml:space="preserve"> months (indicating sustained risk)</w:t>
            </w:r>
            <w:r w:rsidR="008B71AD">
              <w:rPr>
                <w:rFonts w:ascii="Gill Sans MT" w:hAnsi="Gill Sans MT" w:cs="Arial"/>
                <w:sz w:val="22"/>
                <w:szCs w:val="22"/>
                <w:lang w:eastAsia="en-AU"/>
              </w:rPr>
              <w:t>.</w:t>
            </w:r>
          </w:p>
        </w:tc>
      </w:tr>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C. Low risk –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is not recommended </w:t>
            </w:r>
          </w:p>
        </w:tc>
      </w:tr>
      <w:tr w:rsidR="00180CEE" w:rsidRPr="00180CEE" w:rsidTr="00F2210D">
        <w:trPr>
          <w:jc w:val="center"/>
        </w:trPr>
        <w:tc>
          <w:tcPr>
            <w:tcW w:w="9406" w:type="dxa"/>
            <w:shd w:val="clear" w:color="auto" w:fill="auto"/>
          </w:tcPr>
          <w:p w:rsidR="00180CEE" w:rsidRPr="00180CEE" w:rsidRDefault="00180CEE" w:rsidP="00180CEE">
            <w:pPr>
              <w:pStyle w:val="DHHStabletext"/>
              <w:spacing w:before="0" w:after="140" w:line="300" w:lineRule="atLeast"/>
              <w:rPr>
                <w:rFonts w:ascii="Gill Sans MT" w:hAnsi="Gill Sans MT" w:cs="Arial"/>
                <w:b/>
                <w:lang w:eastAsia="en-AU"/>
              </w:rPr>
            </w:pPr>
            <w:r w:rsidRPr="00180CEE">
              <w:rPr>
                <w:rFonts w:ascii="Gill Sans MT" w:hAnsi="Gill Sans MT" w:cs="Arial"/>
                <w:b/>
                <w:lang w:eastAsia="en-AU"/>
              </w:rPr>
              <w:t xml:space="preserve">For individuals who: </w:t>
            </w:r>
          </w:p>
          <w:p w:rsidR="00180CEE" w:rsidRPr="008B71AD" w:rsidRDefault="00180CEE" w:rsidP="008B71AD">
            <w:pPr>
              <w:pStyle w:val="DHHStablebullet"/>
              <w:spacing w:before="0" w:after="140" w:line="300" w:lineRule="atLeast"/>
              <w:ind w:left="513" w:hanging="513"/>
              <w:rPr>
                <w:rFonts w:ascii="Gill Sans MT" w:hAnsi="Gill Sans MT" w:cs="Arial"/>
                <w:sz w:val="22"/>
                <w:szCs w:val="22"/>
                <w:lang w:eastAsia="en-AU"/>
              </w:rPr>
            </w:pPr>
            <w:r w:rsidRPr="008B71AD">
              <w:rPr>
                <w:rFonts w:ascii="Gill Sans MT" w:hAnsi="Gill Sans MT" w:cs="Arial"/>
                <w:sz w:val="22"/>
                <w:szCs w:val="22"/>
                <w:lang w:eastAsia="en-AU"/>
              </w:rPr>
              <w:t xml:space="preserve">Have no risk exposure other than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vaginal intercourse (CLVI) or CLAI with a partner with documented sustained undetectable HIV viral load in the previous three months. However, </w:t>
            </w:r>
            <w:proofErr w:type="spellStart"/>
            <w:r w:rsidRPr="008B71AD">
              <w:rPr>
                <w:rFonts w:ascii="Gill Sans MT" w:hAnsi="Gill Sans MT" w:cs="Arial"/>
                <w:sz w:val="22"/>
                <w:szCs w:val="22"/>
                <w:lang w:eastAsia="en-AU"/>
              </w:rPr>
              <w:t>PrEP</w:t>
            </w:r>
            <w:proofErr w:type="spellEnd"/>
            <w:r w:rsidRPr="008B71AD">
              <w:rPr>
                <w:rFonts w:ascii="Gill Sans MT" w:hAnsi="Gill Sans MT" w:cs="Arial"/>
                <w:sz w:val="22"/>
                <w:szCs w:val="22"/>
                <w:lang w:eastAsia="en-AU"/>
              </w:rPr>
              <w:t xml:space="preserve"> may be considered for a HIV- negative female who is trying to conceive with a HIV-positive male</w:t>
            </w:r>
            <w:r w:rsidR="008B71AD">
              <w:rPr>
                <w:rFonts w:ascii="Gill Sans MT" w:hAnsi="Gill Sans MT" w:cs="Arial"/>
                <w:sz w:val="22"/>
                <w:szCs w:val="22"/>
                <w:lang w:eastAsia="en-AU"/>
              </w:rPr>
              <w:t>.</w:t>
            </w:r>
          </w:p>
          <w:p w:rsidR="00180CEE" w:rsidRPr="00180CEE" w:rsidRDefault="00180CEE" w:rsidP="008B71AD">
            <w:pPr>
              <w:pStyle w:val="DHHStablebullet"/>
              <w:spacing w:before="0" w:after="140" w:line="300" w:lineRule="atLeast"/>
              <w:ind w:left="513" w:hanging="513"/>
              <w:rPr>
                <w:rFonts w:ascii="Gill Sans MT" w:hAnsi="Gill Sans MT" w:cs="Arial"/>
                <w:lang w:eastAsia="en-AU"/>
              </w:rPr>
            </w:pPr>
            <w:r w:rsidRPr="008B71AD">
              <w:rPr>
                <w:rFonts w:ascii="Gill Sans MT" w:hAnsi="Gill Sans MT" w:cs="Arial"/>
                <w:sz w:val="22"/>
                <w:szCs w:val="22"/>
                <w:lang w:eastAsia="en-AU"/>
              </w:rPr>
              <w:lastRenderedPageBreak/>
              <w:t xml:space="preserve">Are circumcised men who report practicing exclusively CLVI in the last three </w:t>
            </w:r>
            <w:proofErr w:type="gramStart"/>
            <w:r w:rsidRPr="008B71AD">
              <w:rPr>
                <w:rFonts w:ascii="Gill Sans MT" w:hAnsi="Gill Sans MT" w:cs="Arial"/>
                <w:sz w:val="22"/>
                <w:szCs w:val="22"/>
                <w:lang w:eastAsia="en-AU"/>
              </w:rPr>
              <w:t>months.</w:t>
            </w:r>
            <w:proofErr w:type="gramEnd"/>
          </w:p>
        </w:tc>
      </w:tr>
      <w:tr w:rsidR="00180CEE" w:rsidRPr="00180CEE" w:rsidTr="00F2210D">
        <w:trPr>
          <w:jc w:val="center"/>
        </w:trPr>
        <w:tc>
          <w:tcPr>
            <w:tcW w:w="9406" w:type="dxa"/>
            <w:shd w:val="clear" w:color="auto" w:fill="CCDCEE"/>
          </w:tcPr>
          <w:p w:rsidR="00180CEE" w:rsidRPr="00180CEE" w:rsidRDefault="00180CEE" w:rsidP="00180CEE">
            <w:pPr>
              <w:pStyle w:val="DHHStablefigurenote"/>
              <w:spacing w:before="0" w:after="140" w:line="300" w:lineRule="atLeast"/>
              <w:rPr>
                <w:rFonts w:ascii="Gill Sans MT" w:hAnsi="Gill Sans MT" w:cs="Arial"/>
                <w:lang w:eastAsia="en-AU"/>
              </w:rPr>
            </w:pPr>
            <w:r w:rsidRPr="00180CEE">
              <w:rPr>
                <w:rFonts w:ascii="Gill Sans MT" w:hAnsi="Gill Sans MT" w:cs="Arial"/>
                <w:lang w:eastAsia="en-AU"/>
              </w:rPr>
              <w:lastRenderedPageBreak/>
              <w:t xml:space="preserve">Note: Heterosexual men and </w:t>
            </w:r>
            <w:proofErr w:type="gramStart"/>
            <w:r w:rsidRPr="00180CEE">
              <w:rPr>
                <w:rFonts w:ascii="Gill Sans MT" w:hAnsi="Gill Sans MT" w:cs="Arial"/>
                <w:lang w:eastAsia="en-AU"/>
              </w:rPr>
              <w:t>women</w:t>
            </w:r>
            <w:proofErr w:type="gramEnd"/>
            <w:r w:rsidRPr="00180CEE">
              <w:rPr>
                <w:rFonts w:ascii="Gill Sans MT" w:hAnsi="Gill Sans MT" w:cs="Arial"/>
                <w:lang w:eastAsia="en-AU"/>
              </w:rPr>
              <w:t xml:space="preserve"> who fall into low risk category C, should be educated about safer sex strategies, PEP and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and decision about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use should be made on a case-by-case basis.</w:t>
            </w:r>
          </w:p>
        </w:tc>
      </w:tr>
    </w:tbl>
    <w:p w:rsidR="00180CEE" w:rsidRPr="00180CEE" w:rsidRDefault="00180CEE" w:rsidP="009C2216">
      <w:pPr>
        <w:pStyle w:val="Heading2"/>
        <w:spacing w:after="140" w:line="300" w:lineRule="atLeast"/>
        <w:rPr>
          <w:rFonts w:ascii="Gill Sans MT" w:hAnsi="Gill Sans MT" w:cs="Arial"/>
          <w:lang w:eastAsia="en-AU"/>
        </w:rPr>
      </w:pPr>
      <w:bookmarkStart w:id="22" w:name="_Toc511722710"/>
      <w:r w:rsidRPr="00180CEE">
        <w:rPr>
          <w:rFonts w:ascii="Gill Sans MT" w:hAnsi="Gill Sans MT" w:cs="Arial"/>
          <w:lang w:eastAsia="en-AU"/>
        </w:rPr>
        <w:t xml:space="preserve">Behavioural eligibility criteria for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for people who inject drugs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0CEE" w:rsidRPr="00180CEE" w:rsidTr="00F2210D">
        <w:trPr>
          <w:jc w:val="center"/>
        </w:trPr>
        <w:tc>
          <w:tcPr>
            <w:tcW w:w="9854"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A. High risk – recommend prescribing daily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w:t>
            </w:r>
          </w:p>
        </w:tc>
      </w:tr>
      <w:tr w:rsidR="00180CEE" w:rsidRPr="00180CEE" w:rsidTr="00F2210D">
        <w:trPr>
          <w:jc w:val="center"/>
        </w:trPr>
        <w:tc>
          <w:tcPr>
            <w:tcW w:w="9854" w:type="dxa"/>
            <w:tcBorders>
              <w:bottom w:val="single" w:sz="4" w:space="0" w:color="auto"/>
            </w:tcBorders>
            <w:shd w:val="clear" w:color="auto" w:fill="auto"/>
          </w:tcPr>
          <w:p w:rsidR="00180CEE" w:rsidRPr="008B71AD" w:rsidRDefault="00180CEE" w:rsidP="00180CEE">
            <w:pPr>
              <w:pStyle w:val="DHHStabletext"/>
              <w:spacing w:before="0" w:after="140" w:line="300" w:lineRule="atLeast"/>
              <w:rPr>
                <w:rFonts w:ascii="Gill Sans MT" w:hAnsi="Gill Sans MT" w:cs="Arial"/>
                <w:b/>
                <w:sz w:val="22"/>
                <w:szCs w:val="22"/>
                <w:lang w:eastAsia="en-AU"/>
              </w:rPr>
            </w:pPr>
            <w:r w:rsidRPr="008B71AD">
              <w:rPr>
                <w:rFonts w:ascii="Gill Sans MT" w:hAnsi="Gill Sans MT" w:cs="Arial"/>
                <w:b/>
                <w:sz w:val="22"/>
                <w:szCs w:val="22"/>
                <w:lang w:eastAsia="en-AU"/>
              </w:rPr>
              <w:t xml:space="preserve">If the client acknowledges: </w:t>
            </w:r>
          </w:p>
          <w:p w:rsidR="00180CEE" w:rsidRPr="008B71AD" w:rsidRDefault="00180CEE" w:rsidP="00180CEE">
            <w:pPr>
              <w:pStyle w:val="DHHStablebullet"/>
              <w:spacing w:before="0" w:after="140" w:line="300" w:lineRule="atLeast"/>
              <w:ind w:left="567" w:hanging="567"/>
              <w:rPr>
                <w:rFonts w:ascii="Gill Sans MT" w:hAnsi="Gill Sans MT" w:cs="Arial"/>
                <w:sz w:val="22"/>
                <w:szCs w:val="22"/>
                <w:lang w:eastAsia="en-AU"/>
              </w:rPr>
            </w:pPr>
            <w:r w:rsidRPr="008B71AD">
              <w:rPr>
                <w:rFonts w:ascii="Gill Sans MT" w:hAnsi="Gill Sans MT" w:cs="Arial"/>
                <w:sz w:val="22"/>
                <w:szCs w:val="22"/>
                <w:lang w:eastAsia="en-AU"/>
              </w:rPr>
              <w:t>being likely to have multiple events of sharing needles or other injecting equipment with a HIV-positive</w:t>
            </w:r>
            <w:r w:rsidRPr="00180CEE">
              <w:rPr>
                <w:rFonts w:ascii="Gill Sans MT" w:hAnsi="Gill Sans MT" w:cs="Arial"/>
                <w:lang w:eastAsia="en-AU"/>
              </w:rPr>
              <w:t xml:space="preserve"> </w:t>
            </w:r>
            <w:r w:rsidRPr="008B71AD">
              <w:rPr>
                <w:rFonts w:ascii="Gill Sans MT" w:hAnsi="Gill Sans MT" w:cs="Arial"/>
                <w:sz w:val="22"/>
                <w:szCs w:val="22"/>
                <w:lang w:eastAsia="en-AU"/>
              </w:rPr>
              <w:t>individual, or a homosexually active man, and has inadequate access to safe injecting equipment in the next three months (indicating sustained risk)</w:t>
            </w:r>
          </w:p>
          <w:p w:rsidR="00180CEE" w:rsidRPr="008B71AD" w:rsidRDefault="00180CEE" w:rsidP="00180CEE">
            <w:pPr>
              <w:pStyle w:val="DHHStabletext"/>
              <w:spacing w:before="0" w:after="140" w:line="300" w:lineRule="atLeast"/>
              <w:rPr>
                <w:rFonts w:ascii="Gill Sans MT" w:hAnsi="Gill Sans MT" w:cs="Arial"/>
                <w:b/>
                <w:sz w:val="22"/>
                <w:szCs w:val="22"/>
                <w:lang w:eastAsia="en-AU"/>
              </w:rPr>
            </w:pPr>
            <w:r w:rsidRPr="008B71AD">
              <w:rPr>
                <w:rFonts w:ascii="Gill Sans MT" w:hAnsi="Gill Sans MT" w:cs="Arial"/>
                <w:b/>
                <w:sz w:val="22"/>
                <w:szCs w:val="22"/>
                <w:lang w:eastAsia="en-AU"/>
              </w:rPr>
              <w:t>and is:</w:t>
            </w:r>
          </w:p>
          <w:p w:rsidR="00180CEE" w:rsidRPr="00180CEE" w:rsidRDefault="00180CEE" w:rsidP="00180CEE">
            <w:pPr>
              <w:pStyle w:val="DHHStablebullet"/>
              <w:spacing w:before="0" w:after="140" w:line="300" w:lineRule="atLeast"/>
              <w:ind w:left="567" w:hanging="567"/>
              <w:rPr>
                <w:rFonts w:ascii="Gill Sans MT" w:hAnsi="Gill Sans MT" w:cs="Arial"/>
                <w:lang w:eastAsia="en-AU"/>
              </w:rPr>
            </w:pPr>
            <w:proofErr w:type="gramStart"/>
            <w:r w:rsidRPr="008B71AD">
              <w:rPr>
                <w:rFonts w:ascii="Gill Sans MT" w:hAnsi="Gill Sans MT" w:cs="Arial"/>
                <w:sz w:val="22"/>
                <w:szCs w:val="22"/>
                <w:lang w:eastAsia="en-AU"/>
              </w:rPr>
              <w:t>sharing</w:t>
            </w:r>
            <w:proofErr w:type="gramEnd"/>
            <w:r w:rsidRPr="008B71AD">
              <w:rPr>
                <w:rFonts w:ascii="Gill Sans MT" w:hAnsi="Gill Sans MT" w:cs="Arial"/>
                <w:sz w:val="22"/>
                <w:szCs w:val="22"/>
                <w:lang w:eastAsia="en-AU"/>
              </w:rPr>
              <w:t xml:space="preserve"> needles or injecting equipment with a HIV-positive individual or with a homosexually active man in the last three months.</w:t>
            </w:r>
          </w:p>
        </w:tc>
      </w:tr>
      <w:tr w:rsidR="00180CEE" w:rsidRPr="00180CEE" w:rsidTr="00F2210D">
        <w:trPr>
          <w:jc w:val="center"/>
        </w:trPr>
        <w:tc>
          <w:tcPr>
            <w:tcW w:w="9854" w:type="dxa"/>
            <w:shd w:val="clear" w:color="auto" w:fill="CCDCEE"/>
          </w:tcPr>
          <w:p w:rsidR="00180CEE" w:rsidRPr="00180CEE" w:rsidRDefault="00180CEE" w:rsidP="00180CEE">
            <w:pPr>
              <w:pStyle w:val="DHHStablefigurenote"/>
              <w:spacing w:before="0" w:after="140" w:line="300" w:lineRule="atLeast"/>
              <w:rPr>
                <w:rFonts w:ascii="Gill Sans MT" w:hAnsi="Gill Sans MT" w:cs="Arial"/>
                <w:lang w:eastAsia="en-AU"/>
              </w:rPr>
            </w:pPr>
            <w:r w:rsidRPr="00180CEE">
              <w:rPr>
                <w:rFonts w:ascii="Gill Sans MT" w:hAnsi="Gill Sans MT" w:cs="Arial"/>
                <w:lang w:eastAsia="en-AU"/>
              </w:rPr>
              <w:t xml:space="preserve">Note: People who inject drugs and do not fall into the high risk category as per the criteria above should be educated about safer injecting and safer sex </w:t>
            </w:r>
            <w:proofErr w:type="gramStart"/>
            <w:r w:rsidRPr="00180CEE">
              <w:rPr>
                <w:rFonts w:ascii="Gill Sans MT" w:hAnsi="Gill Sans MT" w:cs="Arial"/>
                <w:lang w:eastAsia="en-AU"/>
              </w:rPr>
              <w:t>practices,</w:t>
            </w:r>
            <w:proofErr w:type="gramEnd"/>
            <w:r w:rsidRPr="00180CEE">
              <w:rPr>
                <w:rFonts w:ascii="Gill Sans MT" w:hAnsi="Gill Sans MT" w:cs="Arial"/>
                <w:lang w:eastAsia="en-AU"/>
              </w:rPr>
              <w:t xml:space="preserve"> PEP and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In these cases, and particularly in populations with a higher proportion of HIV cases due to IDU, such as Aboriginal and Torres Strait Islander people, decisions about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use should be made on a case-by-case basis.</w:t>
            </w:r>
          </w:p>
        </w:tc>
      </w:tr>
    </w:tbl>
    <w:p w:rsidR="00180CEE" w:rsidRPr="00180CEE" w:rsidRDefault="00180CEE" w:rsidP="009C2216">
      <w:pPr>
        <w:pStyle w:val="Heading2"/>
        <w:spacing w:after="140" w:line="300" w:lineRule="atLeast"/>
        <w:rPr>
          <w:rFonts w:ascii="Gill Sans MT" w:hAnsi="Gill Sans MT" w:cs="Arial"/>
          <w:lang w:eastAsia="en-AU"/>
        </w:rPr>
      </w:pPr>
      <w:bookmarkStart w:id="23" w:name="_Toc511722711"/>
      <w:r w:rsidRPr="00180CEE">
        <w:rPr>
          <w:rFonts w:ascii="Gill Sans MT" w:hAnsi="Gill Sans MT" w:cs="Arial"/>
          <w:lang w:eastAsia="en-AU"/>
        </w:rPr>
        <w:t xml:space="preserve">Behavioural </w:t>
      </w:r>
      <w:r w:rsidRPr="00180CEE">
        <w:rPr>
          <w:rFonts w:ascii="Gill Sans MT" w:hAnsi="Gill Sans MT" w:cs="Arial"/>
        </w:rPr>
        <w:t>eligibility</w:t>
      </w:r>
      <w:r w:rsidRPr="00180CEE">
        <w:rPr>
          <w:rFonts w:ascii="Gill Sans MT" w:hAnsi="Gill Sans MT" w:cs="Arial"/>
          <w:lang w:eastAsia="en-AU"/>
        </w:rPr>
        <w:t xml:space="preserve"> criteria for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for </w:t>
      </w:r>
      <w:proofErr w:type="gramStart"/>
      <w:r w:rsidRPr="00180CEE">
        <w:rPr>
          <w:rFonts w:ascii="Gill Sans MT" w:hAnsi="Gill Sans MT" w:cs="Arial"/>
          <w:lang w:eastAsia="en-AU"/>
        </w:rPr>
        <w:t>trans</w:t>
      </w:r>
      <w:proofErr w:type="gramEnd"/>
      <w:r w:rsidRPr="00180CEE">
        <w:rPr>
          <w:rFonts w:ascii="Gill Sans MT" w:hAnsi="Gill Sans MT" w:cs="Arial"/>
          <w:lang w:eastAsia="en-AU"/>
        </w:rPr>
        <w:t xml:space="preserve"> and gender diverse people</w:t>
      </w:r>
      <w:bookmarkEnd w:id="23"/>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A. High risk – recommend prescribing daily </w:t>
            </w:r>
            <w:proofErr w:type="spellStart"/>
            <w:r w:rsidRPr="00180CEE">
              <w:rPr>
                <w:rFonts w:ascii="Gill Sans MT" w:hAnsi="Gill Sans MT" w:cs="Arial"/>
                <w:lang w:eastAsia="en-AU"/>
              </w:rPr>
              <w:t>PrEP</w:t>
            </w:r>
            <w:proofErr w:type="spellEnd"/>
            <w:r w:rsidRPr="00180CEE">
              <w:rPr>
                <w:rFonts w:ascii="Gill Sans MT" w:hAnsi="Gill Sans MT" w:cs="Arial"/>
                <w:lang w:eastAsia="en-AU"/>
              </w:rPr>
              <w:t xml:space="preserve"> </w:t>
            </w:r>
          </w:p>
        </w:tc>
      </w:tr>
      <w:tr w:rsidR="00180CEE" w:rsidRPr="00180CEE" w:rsidTr="00F2210D">
        <w:trPr>
          <w:jc w:val="center"/>
        </w:trPr>
        <w:tc>
          <w:tcPr>
            <w:tcW w:w="9406" w:type="dxa"/>
            <w:tcBorders>
              <w:bottom w:val="single" w:sz="4" w:space="0" w:color="auto"/>
            </w:tcBorders>
            <w:shd w:val="clear" w:color="auto" w:fill="auto"/>
          </w:tcPr>
          <w:p w:rsidR="00180CEE" w:rsidRPr="00180CEE" w:rsidRDefault="00180CEE" w:rsidP="00180CEE">
            <w:pPr>
              <w:pStyle w:val="DHHStabletext"/>
              <w:spacing w:before="0" w:after="140" w:line="300" w:lineRule="atLeast"/>
              <w:rPr>
                <w:rFonts w:ascii="Gill Sans MT" w:hAnsi="Gill Sans MT" w:cs="Arial"/>
                <w:b/>
                <w:lang w:eastAsia="en-AU"/>
              </w:rPr>
            </w:pPr>
            <w:r w:rsidRPr="00180CEE">
              <w:rPr>
                <w:rFonts w:ascii="Gill Sans MT" w:hAnsi="Gill Sans MT" w:cs="Arial"/>
                <w:b/>
                <w:iCs/>
                <w:lang w:eastAsia="en-AU"/>
              </w:rPr>
              <w:t xml:space="preserve">If the client acknowledges having had any of the following in the last </w:t>
            </w:r>
            <w:r w:rsidR="002F3599">
              <w:rPr>
                <w:rFonts w:ascii="Gill Sans MT" w:hAnsi="Gill Sans MT" w:cs="Arial"/>
                <w:b/>
                <w:iCs/>
                <w:lang w:eastAsia="en-AU"/>
              </w:rPr>
              <w:t>three</w:t>
            </w:r>
            <w:r w:rsidRPr="00180CEE">
              <w:rPr>
                <w:rFonts w:ascii="Gill Sans MT" w:hAnsi="Gill Sans MT" w:cs="Arial"/>
                <w:b/>
                <w:iCs/>
                <w:lang w:eastAsia="en-AU"/>
              </w:rPr>
              <w:t xml:space="preserve"> months</w:t>
            </w:r>
            <w:r w:rsidRPr="00180CEE">
              <w:rPr>
                <w:rFonts w:ascii="Gill Sans MT" w:hAnsi="Gill Sans MT" w:cs="Arial"/>
                <w:b/>
                <w:lang w:eastAsia="en-AU"/>
              </w:rPr>
              <w:t xml:space="preserve">: </w:t>
            </w:r>
          </w:p>
          <w:p w:rsidR="00180CEE" w:rsidRPr="008B71AD" w:rsidRDefault="00180CEE" w:rsidP="008B71AD">
            <w:pPr>
              <w:pStyle w:val="DHHStablebullet"/>
              <w:spacing w:before="0" w:after="140" w:line="300" w:lineRule="atLeast"/>
              <w:ind w:left="510" w:hanging="510"/>
              <w:contextualSpacing/>
              <w:rPr>
                <w:rFonts w:ascii="Gill Sans MT" w:hAnsi="Gill Sans MT" w:cs="Arial"/>
                <w:b/>
                <w:sz w:val="22"/>
                <w:szCs w:val="22"/>
                <w:lang w:eastAsia="en-AU"/>
              </w:rPr>
            </w:pPr>
            <w:r w:rsidRPr="008B71AD">
              <w:rPr>
                <w:rFonts w:ascii="Gill Sans MT" w:hAnsi="Gill Sans MT" w:cs="Arial"/>
                <w:sz w:val="22"/>
                <w:szCs w:val="22"/>
                <w:lang w:eastAsia="en-AU"/>
              </w:rPr>
              <w:t>Being a regular sexual partner of an HIV+ person (not on treatment and/or detectable viral load) with whom condoms have not been consistently used</w:t>
            </w:r>
          </w:p>
          <w:p w:rsidR="00180CEE" w:rsidRPr="008B71AD" w:rsidRDefault="00180CEE" w:rsidP="008B71AD">
            <w:pPr>
              <w:pStyle w:val="DHHStablebullet"/>
              <w:spacing w:before="0" w:after="140" w:line="300" w:lineRule="atLeast"/>
              <w:ind w:left="510" w:hanging="510"/>
              <w:contextualSpacing/>
              <w:rPr>
                <w:rFonts w:ascii="Gill Sans MT" w:hAnsi="Gill Sans MT" w:cs="Arial"/>
                <w:b/>
                <w:sz w:val="22"/>
                <w:szCs w:val="22"/>
                <w:lang w:eastAsia="en-AU"/>
              </w:rPr>
            </w:pPr>
            <w:r w:rsidRPr="008B71AD">
              <w:rPr>
                <w:rFonts w:ascii="Gill Sans MT" w:hAnsi="Gill Sans MT" w:cs="Arial"/>
                <w:sz w:val="22"/>
                <w:szCs w:val="22"/>
                <w:lang w:eastAsia="en-AU"/>
              </w:rPr>
              <w:t xml:space="preserve">At least </w:t>
            </w:r>
            <w:r w:rsidRPr="008B71AD">
              <w:rPr>
                <w:rFonts w:ascii="Gill Sans MT" w:hAnsi="Gill Sans MT" w:cs="Arial"/>
                <w:b/>
                <w:sz w:val="22"/>
                <w:szCs w:val="22"/>
                <w:lang w:eastAsia="en-AU"/>
              </w:rPr>
              <w:t>one</w:t>
            </w:r>
            <w:r w:rsidRPr="008B71AD">
              <w:rPr>
                <w:rFonts w:ascii="Gill Sans MT" w:hAnsi="Gill Sans MT" w:cs="Arial"/>
                <w:sz w:val="22"/>
                <w:szCs w:val="22"/>
                <w:lang w:eastAsia="en-AU"/>
              </w:rPr>
              <w:t xml:space="preserve"> episode of receptive anal or vaginal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intercourse with any casual HIV+ partner or a male partner of unknown status</w:t>
            </w:r>
          </w:p>
          <w:p w:rsidR="00180CEE" w:rsidRPr="008B71AD" w:rsidRDefault="00180CEE" w:rsidP="008B71AD">
            <w:pPr>
              <w:pStyle w:val="DHHStablebullet"/>
              <w:spacing w:before="0" w:after="140" w:line="300" w:lineRule="atLeast"/>
              <w:ind w:left="510" w:hanging="510"/>
              <w:contextualSpacing/>
              <w:rPr>
                <w:rFonts w:ascii="Gill Sans MT" w:hAnsi="Gill Sans MT" w:cs="Arial"/>
                <w:b/>
                <w:sz w:val="22"/>
                <w:szCs w:val="22"/>
                <w:lang w:eastAsia="en-AU"/>
              </w:rPr>
            </w:pPr>
            <w:r w:rsidRPr="008B71AD">
              <w:rPr>
                <w:rFonts w:ascii="Gill Sans MT" w:hAnsi="Gill Sans MT" w:cs="Arial"/>
                <w:sz w:val="22"/>
                <w:szCs w:val="22"/>
                <w:lang w:eastAsia="en-AU"/>
              </w:rPr>
              <w:t xml:space="preserve">Rectal or vaginal gonorrhoea, rectal or vaginal chlamydia or infectious syphilis diagnosis (during the last </w:t>
            </w:r>
            <w:r w:rsidR="002F3599" w:rsidRPr="008B71AD">
              <w:rPr>
                <w:rFonts w:ascii="Gill Sans MT" w:hAnsi="Gill Sans MT" w:cs="Arial"/>
                <w:sz w:val="22"/>
                <w:szCs w:val="22"/>
                <w:lang w:eastAsia="en-AU"/>
              </w:rPr>
              <w:t>three</w:t>
            </w:r>
            <w:r w:rsidRPr="008B71AD">
              <w:rPr>
                <w:rFonts w:ascii="Gill Sans MT" w:hAnsi="Gill Sans MT" w:cs="Arial"/>
                <w:sz w:val="22"/>
                <w:szCs w:val="22"/>
                <w:lang w:eastAsia="en-AU"/>
              </w:rPr>
              <w:t xml:space="preserve"> months or at screening for </w:t>
            </w:r>
            <w:proofErr w:type="spellStart"/>
            <w:r w:rsidRPr="008B71AD">
              <w:rPr>
                <w:rFonts w:ascii="Gill Sans MT" w:hAnsi="Gill Sans MT" w:cs="Arial"/>
                <w:sz w:val="22"/>
                <w:szCs w:val="22"/>
                <w:lang w:eastAsia="en-AU"/>
              </w:rPr>
              <w:t>PrEP</w:t>
            </w:r>
            <w:proofErr w:type="spellEnd"/>
            <w:r w:rsidRPr="008B71AD">
              <w:rPr>
                <w:rFonts w:ascii="Gill Sans MT" w:hAnsi="Gill Sans MT" w:cs="Arial"/>
                <w:sz w:val="22"/>
                <w:szCs w:val="22"/>
                <w:lang w:eastAsia="en-AU"/>
              </w:rPr>
              <w:t>)</w:t>
            </w:r>
          </w:p>
          <w:p w:rsidR="00180CEE" w:rsidRPr="008B71AD" w:rsidRDefault="00180CEE" w:rsidP="008B71AD">
            <w:pPr>
              <w:pStyle w:val="DHHStablebullet"/>
              <w:spacing w:before="0" w:after="140" w:line="300" w:lineRule="atLeast"/>
              <w:ind w:left="510" w:hanging="510"/>
              <w:contextualSpacing/>
              <w:rPr>
                <w:rFonts w:ascii="Gill Sans MT" w:hAnsi="Gill Sans MT" w:cs="Arial"/>
                <w:b/>
                <w:sz w:val="22"/>
                <w:szCs w:val="22"/>
                <w:lang w:eastAsia="en-AU"/>
              </w:rPr>
            </w:pPr>
            <w:r w:rsidRPr="008B71AD">
              <w:rPr>
                <w:rFonts w:ascii="Gill Sans MT" w:hAnsi="Gill Sans MT" w:cs="Arial"/>
                <w:sz w:val="22"/>
                <w:szCs w:val="22"/>
                <w:lang w:eastAsia="en-AU"/>
              </w:rPr>
              <w:t>Methamphetamine use, which may increase the risk of HIV acquisition</w:t>
            </w:r>
          </w:p>
          <w:p w:rsidR="00180CEE" w:rsidRPr="008B71AD" w:rsidRDefault="00180CEE" w:rsidP="00180CEE">
            <w:pPr>
              <w:pStyle w:val="DHHStablebullet"/>
              <w:numPr>
                <w:ilvl w:val="0"/>
                <w:numId w:val="0"/>
              </w:numPr>
              <w:spacing w:before="0" w:after="140" w:line="300" w:lineRule="atLeast"/>
              <w:rPr>
                <w:rFonts w:ascii="Gill Sans MT" w:hAnsi="Gill Sans MT" w:cs="Arial"/>
                <w:b/>
                <w:sz w:val="22"/>
                <w:szCs w:val="22"/>
                <w:lang w:eastAsia="en-AU"/>
              </w:rPr>
            </w:pPr>
            <w:r w:rsidRPr="008B71AD">
              <w:rPr>
                <w:rFonts w:ascii="Gill Sans MT" w:hAnsi="Gill Sans MT" w:cs="Arial"/>
                <w:b/>
                <w:sz w:val="22"/>
                <w:szCs w:val="22"/>
                <w:lang w:eastAsia="en-AU"/>
              </w:rPr>
              <w:t>and</w:t>
            </w:r>
            <w:r w:rsidRPr="008B71AD">
              <w:rPr>
                <w:rFonts w:ascii="Gill Sans MT" w:hAnsi="Gill Sans MT" w:cs="Arial"/>
                <w:b/>
                <w:iCs/>
                <w:sz w:val="22"/>
                <w:szCs w:val="22"/>
                <w:lang w:eastAsia="en-AU"/>
              </w:rPr>
              <w:t xml:space="preserve">: </w:t>
            </w:r>
          </w:p>
          <w:p w:rsidR="00180CEE" w:rsidRPr="00180CEE" w:rsidRDefault="00180CEE" w:rsidP="002F3599">
            <w:pPr>
              <w:pStyle w:val="DHHStablebullet"/>
              <w:spacing w:before="0" w:after="140" w:line="300" w:lineRule="atLeast"/>
              <w:rPr>
                <w:rFonts w:ascii="Gill Sans MT" w:hAnsi="Gill Sans MT" w:cs="Arial"/>
                <w:lang w:eastAsia="en-AU"/>
              </w:rPr>
            </w:pPr>
            <w:r w:rsidRPr="008B71AD">
              <w:rPr>
                <w:rFonts w:ascii="Gill Sans MT" w:hAnsi="Gill Sans MT" w:cs="Arial"/>
                <w:sz w:val="22"/>
                <w:szCs w:val="22"/>
                <w:lang w:eastAsia="en-AU"/>
              </w:rPr>
              <w:t xml:space="preserve">Being likely to have multiple episodes of anal or vaginal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intercourse, with or without sharing intravenous drug equipment, in the next </w:t>
            </w:r>
            <w:r w:rsidR="002F3599" w:rsidRPr="008B71AD">
              <w:rPr>
                <w:rFonts w:ascii="Gill Sans MT" w:hAnsi="Gill Sans MT" w:cs="Arial"/>
                <w:sz w:val="22"/>
                <w:szCs w:val="22"/>
                <w:lang w:eastAsia="en-AU"/>
              </w:rPr>
              <w:t>three</w:t>
            </w:r>
            <w:r w:rsidRPr="008B71AD">
              <w:rPr>
                <w:rFonts w:ascii="Gill Sans MT" w:hAnsi="Gill Sans MT" w:cs="Arial"/>
                <w:sz w:val="22"/>
                <w:szCs w:val="22"/>
                <w:lang w:eastAsia="en-AU"/>
              </w:rPr>
              <w:t xml:space="preserve"> months (indicating sustained risk)</w:t>
            </w:r>
            <w:r w:rsidR="008B71AD">
              <w:rPr>
                <w:rFonts w:ascii="Gill Sans MT" w:hAnsi="Gill Sans MT" w:cs="Arial"/>
                <w:sz w:val="22"/>
                <w:szCs w:val="22"/>
                <w:lang w:eastAsia="en-AU"/>
              </w:rPr>
              <w:t>.</w:t>
            </w:r>
          </w:p>
        </w:tc>
      </w:tr>
      <w:tr w:rsidR="00180CEE" w:rsidRPr="00180CEE" w:rsidTr="00F2210D">
        <w:trPr>
          <w:jc w:val="center"/>
        </w:trPr>
        <w:tc>
          <w:tcPr>
            <w:tcW w:w="9406" w:type="dxa"/>
            <w:shd w:val="clear" w:color="auto" w:fill="004EA8"/>
          </w:tcPr>
          <w:p w:rsidR="00180CEE" w:rsidRPr="00180CEE" w:rsidRDefault="00180CEE" w:rsidP="00180CEE">
            <w:pPr>
              <w:pStyle w:val="DHHStablecolhead"/>
              <w:spacing w:before="0" w:after="140" w:line="300" w:lineRule="atLeast"/>
              <w:rPr>
                <w:rFonts w:ascii="Gill Sans MT" w:hAnsi="Gill Sans MT" w:cs="Arial"/>
                <w:lang w:eastAsia="en-AU"/>
              </w:rPr>
            </w:pPr>
            <w:r w:rsidRPr="00180CEE">
              <w:rPr>
                <w:rFonts w:ascii="Gill Sans MT" w:hAnsi="Gill Sans MT" w:cs="Arial"/>
                <w:lang w:eastAsia="en-AU"/>
              </w:rPr>
              <w:t xml:space="preserve">B. Medium risk – consider prescribing daily </w:t>
            </w:r>
            <w:proofErr w:type="spellStart"/>
            <w:r w:rsidRPr="00180CEE">
              <w:rPr>
                <w:rFonts w:ascii="Gill Sans MT" w:hAnsi="Gill Sans MT" w:cs="Arial"/>
                <w:lang w:eastAsia="en-AU"/>
              </w:rPr>
              <w:t>PrEP</w:t>
            </w:r>
            <w:proofErr w:type="spellEnd"/>
          </w:p>
        </w:tc>
      </w:tr>
      <w:tr w:rsidR="00180CEE" w:rsidRPr="00180CEE" w:rsidTr="00F2210D">
        <w:trPr>
          <w:jc w:val="center"/>
        </w:trPr>
        <w:tc>
          <w:tcPr>
            <w:tcW w:w="9406" w:type="dxa"/>
            <w:shd w:val="clear" w:color="auto" w:fill="auto"/>
          </w:tcPr>
          <w:p w:rsidR="00180CEE" w:rsidRPr="008B71AD" w:rsidRDefault="00180CEE" w:rsidP="00180CEE">
            <w:pPr>
              <w:pStyle w:val="DHHStabletext"/>
              <w:spacing w:before="0" w:after="140" w:line="300" w:lineRule="atLeast"/>
              <w:rPr>
                <w:rFonts w:ascii="Gill Sans MT" w:hAnsi="Gill Sans MT" w:cs="Arial"/>
                <w:b/>
                <w:sz w:val="22"/>
                <w:szCs w:val="22"/>
                <w:lang w:eastAsia="en-AU"/>
              </w:rPr>
            </w:pPr>
            <w:r w:rsidRPr="008B71AD">
              <w:rPr>
                <w:rFonts w:ascii="Gill Sans MT" w:hAnsi="Gill Sans MT" w:cs="Arial"/>
                <w:b/>
                <w:iCs/>
                <w:sz w:val="22"/>
                <w:szCs w:val="22"/>
                <w:lang w:eastAsia="en-AU"/>
              </w:rPr>
              <w:t xml:space="preserve">If the client acknowledges having had any of the following in the last </w:t>
            </w:r>
            <w:r w:rsidR="002F3599" w:rsidRPr="008B71AD">
              <w:rPr>
                <w:rFonts w:ascii="Gill Sans MT" w:hAnsi="Gill Sans MT" w:cs="Arial"/>
                <w:b/>
                <w:iCs/>
                <w:sz w:val="22"/>
                <w:szCs w:val="22"/>
                <w:lang w:eastAsia="en-AU"/>
              </w:rPr>
              <w:t>three</w:t>
            </w:r>
            <w:r w:rsidRPr="008B71AD">
              <w:rPr>
                <w:rFonts w:ascii="Gill Sans MT" w:hAnsi="Gill Sans MT" w:cs="Arial"/>
                <w:b/>
                <w:iCs/>
                <w:sz w:val="22"/>
                <w:szCs w:val="22"/>
                <w:lang w:eastAsia="en-AU"/>
              </w:rPr>
              <w:t xml:space="preserve"> months</w:t>
            </w:r>
            <w:r w:rsidRPr="008B71AD">
              <w:rPr>
                <w:rFonts w:ascii="Gill Sans MT" w:hAnsi="Gill Sans MT" w:cs="Arial"/>
                <w:b/>
                <w:sz w:val="22"/>
                <w:szCs w:val="22"/>
                <w:lang w:eastAsia="en-AU"/>
              </w:rPr>
              <w:t xml:space="preserve">: </w:t>
            </w:r>
          </w:p>
          <w:p w:rsidR="00180CEE" w:rsidRPr="008B71AD" w:rsidRDefault="00180CEE" w:rsidP="008B71AD">
            <w:pPr>
              <w:pStyle w:val="DHHStablebullet"/>
              <w:spacing w:before="0" w:after="140" w:line="300" w:lineRule="atLeast"/>
              <w:ind w:left="510" w:hanging="510"/>
              <w:contextualSpacing/>
              <w:rPr>
                <w:rFonts w:ascii="Gill Sans MT" w:hAnsi="Gill Sans MT" w:cs="Arial"/>
                <w:sz w:val="22"/>
                <w:szCs w:val="22"/>
                <w:lang w:eastAsia="en-AU"/>
              </w:rPr>
            </w:pPr>
            <w:r w:rsidRPr="008B71AD">
              <w:rPr>
                <w:rFonts w:ascii="Gill Sans MT" w:hAnsi="Gill Sans MT" w:cs="Arial"/>
                <w:sz w:val="22"/>
                <w:szCs w:val="22"/>
                <w:lang w:eastAsia="en-AU"/>
              </w:rPr>
              <w:t>More than one episode of anal or vaginal intercourse when proper</w:t>
            </w:r>
            <w:r w:rsidR="002F3599" w:rsidRPr="008B71AD">
              <w:rPr>
                <w:rFonts w:ascii="Gill Sans MT" w:hAnsi="Gill Sans MT" w:cs="Arial"/>
                <w:sz w:val="22"/>
                <w:szCs w:val="22"/>
                <w:lang w:eastAsia="en-AU"/>
              </w:rPr>
              <w:t xml:space="preserve"> condom use was not achieved (eg</w:t>
            </w:r>
            <w:r w:rsidRPr="008B71AD">
              <w:rPr>
                <w:rFonts w:ascii="Gill Sans MT" w:hAnsi="Gill Sans MT" w:cs="Arial"/>
                <w:sz w:val="22"/>
                <w:szCs w:val="22"/>
                <w:lang w:eastAsia="en-AU"/>
              </w:rPr>
              <w:t xml:space="preserve"> condom slipped off or broke) and where the </w:t>
            </w:r>
            <w:proofErr w:type="spellStart"/>
            <w:r w:rsidRPr="008B71AD">
              <w:rPr>
                <w:rFonts w:ascii="Gill Sans MT" w:hAnsi="Gill Sans MT" w:cs="Arial"/>
                <w:sz w:val="22"/>
                <w:szCs w:val="22"/>
                <w:lang w:eastAsia="en-AU"/>
              </w:rPr>
              <w:t>serostatus</w:t>
            </w:r>
            <w:proofErr w:type="spellEnd"/>
            <w:r w:rsidRPr="008B71AD">
              <w:rPr>
                <w:rFonts w:ascii="Gill Sans MT" w:hAnsi="Gill Sans MT" w:cs="Arial"/>
                <w:sz w:val="22"/>
                <w:szCs w:val="22"/>
                <w:lang w:eastAsia="en-AU"/>
              </w:rPr>
              <w:t xml:space="preserve"> of partner was not known, or was HIV+ and not on treatment or with a detectable viral load</w:t>
            </w:r>
            <w:r w:rsidR="008B71AD">
              <w:rPr>
                <w:rFonts w:ascii="Gill Sans MT" w:hAnsi="Gill Sans MT" w:cs="Arial"/>
                <w:sz w:val="22"/>
                <w:szCs w:val="22"/>
                <w:lang w:eastAsia="en-AU"/>
              </w:rPr>
              <w:t>.</w:t>
            </w:r>
          </w:p>
          <w:p w:rsidR="00180CEE" w:rsidRPr="008B71AD" w:rsidRDefault="00180CEE" w:rsidP="008B71AD">
            <w:pPr>
              <w:pStyle w:val="DHHStablebullet"/>
              <w:spacing w:before="0" w:after="140" w:line="300" w:lineRule="atLeast"/>
              <w:ind w:left="510" w:hanging="510"/>
              <w:contextualSpacing/>
              <w:rPr>
                <w:rFonts w:ascii="Gill Sans MT" w:hAnsi="Gill Sans MT" w:cs="Arial"/>
                <w:sz w:val="22"/>
                <w:szCs w:val="22"/>
                <w:lang w:eastAsia="en-AU"/>
              </w:rPr>
            </w:pPr>
            <w:r w:rsidRPr="008B71AD">
              <w:rPr>
                <w:rFonts w:ascii="Gill Sans MT" w:hAnsi="Gill Sans MT" w:cs="Arial"/>
                <w:sz w:val="22"/>
                <w:szCs w:val="22"/>
                <w:lang w:eastAsia="en-AU"/>
              </w:rPr>
              <w:t xml:space="preserve">(If patient is uncircumcised) more than one episode of </w:t>
            </w:r>
            <w:proofErr w:type="spellStart"/>
            <w:r w:rsidRPr="008B71AD">
              <w:rPr>
                <w:rFonts w:ascii="Gill Sans MT" w:hAnsi="Gill Sans MT" w:cs="Arial"/>
                <w:sz w:val="22"/>
                <w:szCs w:val="22"/>
                <w:lang w:eastAsia="en-AU"/>
              </w:rPr>
              <w:t>insertive</w:t>
            </w:r>
            <w:proofErr w:type="spellEnd"/>
            <w:r w:rsidRPr="008B71AD">
              <w:rPr>
                <w:rFonts w:ascii="Gill Sans MT" w:hAnsi="Gill Sans MT" w:cs="Arial"/>
                <w:sz w:val="22"/>
                <w:szCs w:val="22"/>
                <w:lang w:eastAsia="en-AU"/>
              </w:rPr>
              <w:t xml:space="preserve">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anal intercourse where the </w:t>
            </w:r>
            <w:proofErr w:type="spellStart"/>
            <w:r w:rsidRPr="008B71AD">
              <w:rPr>
                <w:rFonts w:ascii="Gill Sans MT" w:hAnsi="Gill Sans MT" w:cs="Arial"/>
                <w:sz w:val="22"/>
                <w:szCs w:val="22"/>
                <w:lang w:eastAsia="en-AU"/>
              </w:rPr>
              <w:t>serostatus</w:t>
            </w:r>
            <w:proofErr w:type="spellEnd"/>
            <w:r w:rsidRPr="008B71AD">
              <w:rPr>
                <w:rFonts w:ascii="Gill Sans MT" w:hAnsi="Gill Sans MT" w:cs="Arial"/>
                <w:sz w:val="22"/>
                <w:szCs w:val="22"/>
                <w:lang w:eastAsia="en-AU"/>
              </w:rPr>
              <w:t xml:space="preserve"> of partner was not known, or was HIV+ and not on treatment or with a detectable viral load</w:t>
            </w:r>
            <w:r w:rsidR="008B71AD">
              <w:rPr>
                <w:rFonts w:ascii="Gill Sans MT" w:hAnsi="Gill Sans MT" w:cs="Arial"/>
                <w:sz w:val="22"/>
                <w:szCs w:val="22"/>
                <w:lang w:eastAsia="en-AU"/>
              </w:rPr>
              <w:t>.</w:t>
            </w:r>
          </w:p>
          <w:p w:rsidR="00180CEE" w:rsidRPr="008B71AD" w:rsidRDefault="00180CEE" w:rsidP="00180CEE">
            <w:pPr>
              <w:pStyle w:val="DHHStabletext"/>
              <w:spacing w:before="0" w:after="140" w:line="300" w:lineRule="atLeast"/>
              <w:rPr>
                <w:rFonts w:ascii="Gill Sans MT" w:hAnsi="Gill Sans MT" w:cs="Arial"/>
                <w:b/>
                <w:sz w:val="22"/>
                <w:szCs w:val="22"/>
                <w:lang w:eastAsia="en-AU"/>
              </w:rPr>
            </w:pPr>
            <w:r w:rsidRPr="008B71AD">
              <w:rPr>
                <w:rFonts w:ascii="Gill Sans MT" w:hAnsi="Gill Sans MT" w:cs="Arial"/>
                <w:b/>
                <w:sz w:val="22"/>
                <w:szCs w:val="22"/>
                <w:lang w:eastAsia="en-AU"/>
              </w:rPr>
              <w:lastRenderedPageBreak/>
              <w:t>And an</w:t>
            </w:r>
            <w:r w:rsidRPr="008B71AD">
              <w:rPr>
                <w:rFonts w:ascii="Gill Sans MT" w:hAnsi="Gill Sans MT" w:cs="Arial"/>
                <w:b/>
                <w:iCs/>
                <w:sz w:val="22"/>
                <w:szCs w:val="22"/>
                <w:lang w:eastAsia="en-AU"/>
              </w:rPr>
              <w:t xml:space="preserve">y of the following is reported: </w:t>
            </w:r>
          </w:p>
          <w:p w:rsidR="00180CEE" w:rsidRPr="00180CEE" w:rsidRDefault="00180CEE" w:rsidP="002F3599">
            <w:pPr>
              <w:pStyle w:val="DHHStablebullet"/>
              <w:spacing w:before="0" w:after="140" w:line="300" w:lineRule="atLeast"/>
              <w:ind w:left="513" w:hanging="513"/>
              <w:rPr>
                <w:rFonts w:ascii="Gill Sans MT" w:hAnsi="Gill Sans MT" w:cs="Arial"/>
                <w:lang w:eastAsia="en-AU"/>
              </w:rPr>
            </w:pPr>
            <w:r w:rsidRPr="008B71AD">
              <w:rPr>
                <w:rFonts w:ascii="Gill Sans MT" w:hAnsi="Gill Sans MT" w:cs="Arial"/>
                <w:sz w:val="22"/>
                <w:szCs w:val="22"/>
                <w:lang w:eastAsia="en-AU"/>
              </w:rPr>
              <w:t xml:space="preserve">Being likely to have multiple episodes of anal or vaginal </w:t>
            </w:r>
            <w:proofErr w:type="spellStart"/>
            <w:r w:rsidRPr="008B71AD">
              <w:rPr>
                <w:rFonts w:ascii="Gill Sans MT" w:hAnsi="Gill Sans MT" w:cs="Arial"/>
                <w:sz w:val="22"/>
                <w:szCs w:val="22"/>
                <w:lang w:eastAsia="en-AU"/>
              </w:rPr>
              <w:t>condomless</w:t>
            </w:r>
            <w:proofErr w:type="spellEnd"/>
            <w:r w:rsidRPr="008B71AD">
              <w:rPr>
                <w:rFonts w:ascii="Gill Sans MT" w:hAnsi="Gill Sans MT" w:cs="Arial"/>
                <w:sz w:val="22"/>
                <w:szCs w:val="22"/>
                <w:lang w:eastAsia="en-AU"/>
              </w:rPr>
              <w:t xml:space="preserve"> intercourse, with or without sharing intravenous drug equipment, in the next </w:t>
            </w:r>
            <w:r w:rsidR="002F3599" w:rsidRPr="008B71AD">
              <w:rPr>
                <w:rFonts w:ascii="Gill Sans MT" w:hAnsi="Gill Sans MT" w:cs="Arial"/>
                <w:sz w:val="22"/>
                <w:szCs w:val="22"/>
                <w:lang w:eastAsia="en-AU"/>
              </w:rPr>
              <w:t>three</w:t>
            </w:r>
            <w:r w:rsidRPr="008B71AD">
              <w:rPr>
                <w:rFonts w:ascii="Gill Sans MT" w:hAnsi="Gill Sans MT" w:cs="Arial"/>
                <w:sz w:val="22"/>
                <w:szCs w:val="22"/>
                <w:lang w:eastAsia="en-AU"/>
              </w:rPr>
              <w:t xml:space="preserve"> months (indicating sustained risk)</w:t>
            </w:r>
            <w:r w:rsidR="008B71AD">
              <w:rPr>
                <w:rFonts w:ascii="Gill Sans MT" w:hAnsi="Gill Sans MT" w:cs="Arial"/>
                <w:sz w:val="22"/>
                <w:szCs w:val="22"/>
                <w:lang w:eastAsia="en-AU"/>
              </w:rPr>
              <w:t>.</w:t>
            </w:r>
          </w:p>
        </w:tc>
      </w:tr>
      <w:tr w:rsidR="00180CEE" w:rsidRPr="00180CEE" w:rsidTr="00F2210D">
        <w:trPr>
          <w:jc w:val="center"/>
        </w:trPr>
        <w:tc>
          <w:tcPr>
            <w:tcW w:w="9406" w:type="dxa"/>
            <w:tcBorders>
              <w:bottom w:val="single" w:sz="4" w:space="0" w:color="auto"/>
            </w:tcBorders>
            <w:shd w:val="clear" w:color="auto" w:fill="B8CCE4"/>
          </w:tcPr>
          <w:p w:rsidR="00180CEE" w:rsidRPr="00180CEE" w:rsidRDefault="00180CEE" w:rsidP="00180CEE">
            <w:pPr>
              <w:pStyle w:val="DHHStabletext"/>
              <w:spacing w:before="0" w:after="140" w:line="300" w:lineRule="atLeast"/>
              <w:rPr>
                <w:rFonts w:ascii="Gill Sans MT" w:hAnsi="Gill Sans MT" w:cs="Arial"/>
                <w:i/>
                <w:iCs/>
                <w:sz w:val="18"/>
                <w:szCs w:val="18"/>
                <w:lang w:eastAsia="en-AU"/>
              </w:rPr>
            </w:pPr>
            <w:r w:rsidRPr="00180CEE">
              <w:rPr>
                <w:rFonts w:ascii="Gill Sans MT" w:hAnsi="Gill Sans MT" w:cs="Arial"/>
                <w:i/>
                <w:iCs/>
                <w:sz w:val="18"/>
                <w:szCs w:val="18"/>
                <w:lang w:eastAsia="en-AU"/>
              </w:rPr>
              <w:lastRenderedPageBreak/>
              <w:t xml:space="preserve">Note: Trans and gender diverse individuals have rarely been included in </w:t>
            </w:r>
            <w:proofErr w:type="spellStart"/>
            <w:r w:rsidRPr="00180CEE">
              <w:rPr>
                <w:rFonts w:ascii="Gill Sans MT" w:hAnsi="Gill Sans MT" w:cs="Arial"/>
                <w:i/>
                <w:iCs/>
                <w:sz w:val="18"/>
                <w:szCs w:val="18"/>
                <w:lang w:eastAsia="en-AU"/>
              </w:rPr>
              <w:t>PrEP</w:t>
            </w:r>
            <w:proofErr w:type="spellEnd"/>
            <w:r w:rsidRPr="00180CEE">
              <w:rPr>
                <w:rFonts w:ascii="Gill Sans MT" w:hAnsi="Gill Sans MT" w:cs="Arial"/>
                <w:i/>
                <w:iCs/>
                <w:sz w:val="18"/>
                <w:szCs w:val="18"/>
                <w:lang w:eastAsia="en-AU"/>
              </w:rPr>
              <w:t xml:space="preserve"> studies. As a result, limited data are available for these individuals. Incorrect assumptions can be made about trans people and their sexual practices, although they may practice vaginal/</w:t>
            </w:r>
            <w:proofErr w:type="spellStart"/>
            <w:r w:rsidRPr="00180CEE">
              <w:rPr>
                <w:rFonts w:ascii="Gill Sans MT" w:hAnsi="Gill Sans MT" w:cs="Arial"/>
                <w:i/>
                <w:iCs/>
                <w:sz w:val="18"/>
                <w:szCs w:val="18"/>
                <w:lang w:eastAsia="en-AU"/>
              </w:rPr>
              <w:t>neovaginal</w:t>
            </w:r>
            <w:proofErr w:type="spellEnd"/>
            <w:r w:rsidRPr="00180CEE">
              <w:rPr>
                <w:rFonts w:ascii="Gill Sans MT" w:hAnsi="Gill Sans MT" w:cs="Arial"/>
                <w:i/>
                <w:iCs/>
                <w:sz w:val="18"/>
                <w:szCs w:val="18"/>
                <w:lang w:eastAsia="en-AU"/>
              </w:rPr>
              <w:t xml:space="preserve"> (“front hole”) and anal intercourse, or </w:t>
            </w:r>
            <w:proofErr w:type="spellStart"/>
            <w:r w:rsidRPr="00180CEE">
              <w:rPr>
                <w:rFonts w:ascii="Gill Sans MT" w:hAnsi="Gill Sans MT" w:cs="Arial"/>
                <w:i/>
                <w:iCs/>
                <w:sz w:val="18"/>
                <w:szCs w:val="18"/>
                <w:lang w:eastAsia="en-AU"/>
              </w:rPr>
              <w:t>insertive</w:t>
            </w:r>
            <w:proofErr w:type="spellEnd"/>
            <w:r w:rsidRPr="00180CEE">
              <w:rPr>
                <w:rFonts w:ascii="Gill Sans MT" w:hAnsi="Gill Sans MT" w:cs="Arial"/>
                <w:i/>
                <w:iCs/>
                <w:sz w:val="18"/>
                <w:szCs w:val="18"/>
                <w:lang w:eastAsia="en-AU"/>
              </w:rPr>
              <w:t xml:space="preserve"> and receptive sex. Trans and gender diverse people who are at high risk of acquiring HIV on the basis of their sexual history are eligible to access </w:t>
            </w:r>
            <w:proofErr w:type="spellStart"/>
            <w:r w:rsidRPr="00180CEE">
              <w:rPr>
                <w:rFonts w:ascii="Gill Sans MT" w:hAnsi="Gill Sans MT" w:cs="Arial"/>
                <w:i/>
                <w:iCs/>
                <w:sz w:val="18"/>
                <w:szCs w:val="18"/>
                <w:lang w:eastAsia="en-AU"/>
              </w:rPr>
              <w:t>PrEP.</w:t>
            </w:r>
            <w:proofErr w:type="spellEnd"/>
          </w:p>
        </w:tc>
      </w:tr>
    </w:tbl>
    <w:p w:rsidR="00180CEE" w:rsidRPr="00180CEE" w:rsidRDefault="00180CEE" w:rsidP="00180CEE">
      <w:pPr>
        <w:pStyle w:val="Heading1"/>
        <w:spacing w:before="0" w:after="140" w:line="300" w:lineRule="atLeast"/>
        <w:rPr>
          <w:rFonts w:ascii="Gill Sans MT" w:eastAsia="Calibri" w:hAnsi="Gill Sans MT" w:cs="Arial"/>
        </w:rPr>
      </w:pPr>
      <w:r w:rsidRPr="00180CEE">
        <w:rPr>
          <w:rFonts w:ascii="Gill Sans MT" w:hAnsi="Gill Sans MT" w:cs="Arial"/>
          <w:sz w:val="24"/>
          <w:szCs w:val="24"/>
          <w:lang w:eastAsia="en-AU"/>
        </w:rPr>
        <w:br w:type="page"/>
      </w:r>
      <w:bookmarkStart w:id="24" w:name="_Toc511722712"/>
      <w:r w:rsidRPr="00180CEE">
        <w:rPr>
          <w:rFonts w:ascii="Gill Sans MT" w:hAnsi="Gill Sans MT" w:cs="Arial"/>
        </w:rPr>
        <w:lastRenderedPageBreak/>
        <w:t xml:space="preserve">Appendix 2: </w:t>
      </w:r>
      <w:r w:rsidRPr="00180CEE">
        <w:rPr>
          <w:rFonts w:ascii="Gill Sans MT" w:hAnsi="Gill Sans MT" w:cs="Arial"/>
          <w:sz w:val="18"/>
          <w:szCs w:val="18"/>
        </w:rPr>
        <w:t xml:space="preserve"> </w:t>
      </w:r>
      <w:r w:rsidRPr="00180CEE">
        <w:rPr>
          <w:rFonts w:ascii="Gill Sans MT" w:eastAsia="Calibri" w:hAnsi="Gill Sans MT" w:cs="Arial"/>
        </w:rPr>
        <w:t>Suggested checklist for initiating pre-exposure prophylaxis (</w:t>
      </w:r>
      <w:proofErr w:type="spellStart"/>
      <w:r w:rsidRPr="00180CEE">
        <w:rPr>
          <w:rFonts w:ascii="Gill Sans MT" w:eastAsia="Calibri" w:hAnsi="Gill Sans MT" w:cs="Arial"/>
        </w:rPr>
        <w:t>PrEP</w:t>
      </w:r>
      <w:proofErr w:type="spellEnd"/>
      <w:r w:rsidRPr="00180CEE">
        <w:rPr>
          <w:rFonts w:ascii="Gill Sans MT" w:eastAsia="Calibri" w:hAnsi="Gill Sans MT" w:cs="Arial"/>
        </w:rPr>
        <w:t>)</w:t>
      </w:r>
      <w:bookmarkEnd w:id="24"/>
    </w:p>
    <w:p w:rsidR="00180CEE" w:rsidRPr="00180CEE" w:rsidRDefault="00180CEE" w:rsidP="00180CEE">
      <w:pPr>
        <w:pStyle w:val="DHHSbody"/>
        <w:spacing w:after="140" w:line="300" w:lineRule="atLeast"/>
        <w:rPr>
          <w:rFonts w:ascii="Gill Sans MT" w:hAnsi="Gill Sans MT" w:cs="Arial"/>
          <w:b/>
          <w:i/>
          <w:sz w:val="24"/>
          <w:szCs w:val="24"/>
        </w:rPr>
      </w:pPr>
      <w:r w:rsidRPr="00180CEE">
        <w:rPr>
          <w:rFonts w:ascii="Gill Sans MT" w:hAnsi="Gill Sans MT" w:cs="Arial"/>
          <w:b/>
          <w:i/>
          <w:sz w:val="24"/>
          <w:szCs w:val="24"/>
        </w:rPr>
        <w:t>PLEASE NOTE: THE FOLLOWING IS INTENDED AS A GUIDE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6468"/>
      </w:tblGrid>
      <w:tr w:rsidR="00180CEE" w:rsidRPr="00180CEE" w:rsidTr="00F2210D">
        <w:trPr>
          <w:trHeight w:val="578"/>
        </w:trPr>
        <w:tc>
          <w:tcPr>
            <w:tcW w:w="2694" w:type="dxa"/>
            <w:tcBorders>
              <w:top w:val="nil"/>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Organisation/clinic name</w:t>
            </w:r>
          </w:p>
        </w:tc>
        <w:tc>
          <w:tcPr>
            <w:tcW w:w="6712" w:type="dxa"/>
            <w:tcBorders>
              <w:top w:val="nil"/>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p>
        </w:tc>
      </w:tr>
      <w:tr w:rsidR="00180CEE" w:rsidRPr="00180CEE" w:rsidTr="00F2210D">
        <w:trPr>
          <w:trHeight w:val="578"/>
        </w:trPr>
        <w:tc>
          <w:tcPr>
            <w:tcW w:w="2694" w:type="dxa"/>
            <w:tcBorders>
              <w:top w:val="single" w:sz="4" w:space="0" w:color="000000"/>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Print name of doctor</w:t>
            </w:r>
          </w:p>
        </w:tc>
        <w:tc>
          <w:tcPr>
            <w:tcW w:w="6712" w:type="dxa"/>
            <w:tcBorders>
              <w:top w:val="single" w:sz="4" w:space="0" w:color="000000"/>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p>
        </w:tc>
      </w:tr>
      <w:tr w:rsidR="00180CEE" w:rsidRPr="00180CEE" w:rsidTr="00F2210D">
        <w:trPr>
          <w:trHeight w:val="578"/>
        </w:trPr>
        <w:tc>
          <w:tcPr>
            <w:tcW w:w="2694" w:type="dxa"/>
            <w:tcBorders>
              <w:top w:val="single" w:sz="4" w:space="0" w:color="000000"/>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Print name of patient</w:t>
            </w:r>
          </w:p>
        </w:tc>
        <w:tc>
          <w:tcPr>
            <w:tcW w:w="6712" w:type="dxa"/>
            <w:tcBorders>
              <w:top w:val="single" w:sz="4" w:space="0" w:color="000000"/>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p>
        </w:tc>
      </w:tr>
      <w:tr w:rsidR="00180CEE" w:rsidRPr="00180CEE" w:rsidTr="00F2210D">
        <w:trPr>
          <w:trHeight w:val="578"/>
        </w:trPr>
        <w:tc>
          <w:tcPr>
            <w:tcW w:w="2694" w:type="dxa"/>
            <w:tcBorders>
              <w:top w:val="single" w:sz="4" w:space="0" w:color="000000"/>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Signature of patient</w:t>
            </w:r>
          </w:p>
        </w:tc>
        <w:tc>
          <w:tcPr>
            <w:tcW w:w="6712" w:type="dxa"/>
            <w:tcBorders>
              <w:top w:val="single" w:sz="4" w:space="0" w:color="000000"/>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eastAsia="Calibri" w:hAnsi="Gill Sans MT" w:cs="Arial"/>
              </w:rPr>
            </w:pPr>
          </w:p>
        </w:tc>
      </w:tr>
      <w:tr w:rsidR="00180CEE" w:rsidRPr="00180CEE" w:rsidTr="00F2210D">
        <w:trPr>
          <w:trHeight w:val="578"/>
        </w:trPr>
        <w:tc>
          <w:tcPr>
            <w:tcW w:w="2694" w:type="dxa"/>
            <w:tcBorders>
              <w:top w:val="single" w:sz="4" w:space="0" w:color="000000"/>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Date (day/month/year)</w:t>
            </w:r>
          </w:p>
        </w:tc>
        <w:tc>
          <w:tcPr>
            <w:tcW w:w="6712" w:type="dxa"/>
            <w:tcBorders>
              <w:top w:val="single" w:sz="4" w:space="0" w:color="000000"/>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eastAsia="Calibri" w:hAnsi="Gill Sans MT" w:cs="Arial"/>
              </w:rPr>
            </w:pPr>
          </w:p>
        </w:tc>
      </w:tr>
    </w:tbl>
    <w:p w:rsidR="00180CEE" w:rsidRPr="00180CEE" w:rsidRDefault="00180CEE" w:rsidP="00180CEE">
      <w:pPr>
        <w:pStyle w:val="Heading2"/>
        <w:spacing w:before="0" w:after="140" w:line="300" w:lineRule="atLeast"/>
        <w:rPr>
          <w:rFonts w:ascii="Gill Sans MT" w:eastAsia="Calibri" w:hAnsi="Gill Sans MT" w:cs="Arial"/>
        </w:rPr>
      </w:pPr>
      <w:bookmarkStart w:id="25" w:name="_Toc511722713"/>
      <w:r w:rsidRPr="00180CEE">
        <w:rPr>
          <w:rFonts w:ascii="Gill Sans MT" w:eastAsia="Calibri" w:hAnsi="Gill Sans MT" w:cs="Arial"/>
        </w:rPr>
        <w:t>Doctor section</w:t>
      </w:r>
      <w:bookmarkEnd w:id="25"/>
    </w:p>
    <w:p w:rsidR="00180CEE" w:rsidRPr="00180CEE" w:rsidRDefault="00180CEE" w:rsidP="00180CEE">
      <w:pPr>
        <w:pStyle w:val="DHHSbody"/>
        <w:spacing w:after="140" w:line="300" w:lineRule="atLeast"/>
        <w:rPr>
          <w:rFonts w:ascii="Gill Sans MT" w:hAnsi="Gill Sans MT" w:cs="Arial"/>
          <w:b/>
        </w:rPr>
      </w:pPr>
      <w:r w:rsidRPr="00180CEE">
        <w:rPr>
          <w:rFonts w:ascii="Gill Sans MT" w:hAnsi="Gill Sans MT" w:cs="Arial"/>
          <w:b/>
        </w:rPr>
        <w:t>I have provided this patient with the following: (check all as completed):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8"/>
        <w:gridCol w:w="466"/>
      </w:tblGrid>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Assessment for possible acute HIV infection</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hAnsi="Gill Sans MT" w:cs="Arial"/>
              </w:rPr>
              <w:t>A</w:t>
            </w:r>
            <w:r w:rsidRPr="00180CEE">
              <w:rPr>
                <w:rFonts w:ascii="Gill Sans MT" w:eastAsia="MS Gothic" w:hAnsi="Gill Sans MT" w:cs="Arial"/>
              </w:rPr>
              <w:t>ssessment of recent HIV risk exposure, within 72 hours (consider post-exposure  prophylaxis)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Indicated laboratory screening to determine indications for these medications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 xml:space="preserve">An HIV risk assessment to determine whether </w:t>
            </w:r>
            <w:proofErr w:type="spellStart"/>
            <w:r w:rsidRPr="00180CEE">
              <w:rPr>
                <w:rFonts w:ascii="Gill Sans MT" w:eastAsia="Calibri" w:hAnsi="Gill Sans MT" w:cs="Arial"/>
              </w:rPr>
              <w:t>PrEP</w:t>
            </w:r>
            <w:proofErr w:type="spellEnd"/>
            <w:r w:rsidRPr="00180CEE">
              <w:rPr>
                <w:rFonts w:ascii="Gill Sans MT" w:eastAsia="Calibri" w:hAnsi="Gill Sans MT" w:cs="Arial"/>
              </w:rPr>
              <w:t xml:space="preserve"> is indicated for this patient</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A medication fact sheet listing dosing instructions and side effects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Counselling or a referral for counselling on condom use and any other HIV risk-reduction methods this patient may need</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Advice on methods to help the patient to take medication daily as prescribed</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 xml:space="preserve">Information about </w:t>
            </w:r>
            <w:proofErr w:type="spellStart"/>
            <w:r w:rsidRPr="00180CEE">
              <w:rPr>
                <w:rFonts w:ascii="Gill Sans MT" w:eastAsia="Calibri" w:hAnsi="Gill Sans MT" w:cs="Arial"/>
              </w:rPr>
              <w:t>PrEP</w:t>
            </w:r>
            <w:proofErr w:type="spellEnd"/>
            <w:r w:rsidRPr="00180CEE">
              <w:rPr>
                <w:rFonts w:ascii="Gill Sans MT" w:eastAsia="Calibri" w:hAnsi="Gill Sans MT" w:cs="Arial"/>
              </w:rPr>
              <w:t xml:space="preserve"> use during conception and pregnancy (when indicated)</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 xml:space="preserve">A prescription for </w:t>
            </w:r>
            <w:proofErr w:type="spellStart"/>
            <w:r w:rsidRPr="00180CEE">
              <w:rPr>
                <w:rFonts w:ascii="Gill Sans MT" w:eastAsia="Calibri" w:hAnsi="Gill Sans MT" w:cs="Arial"/>
              </w:rPr>
              <w:t>Truvada</w:t>
            </w:r>
            <w:proofErr w:type="spellEnd"/>
            <w:r w:rsidRPr="00180CEE">
              <w:rPr>
                <w:rFonts w:ascii="Gill Sans MT" w:eastAsia="Calibri" w:hAnsi="Gill Sans MT" w:cs="Arial"/>
              </w:rPr>
              <w:t xml:space="preserve"> (300 mg </w:t>
            </w:r>
            <w:proofErr w:type="spellStart"/>
            <w:r w:rsidRPr="00180CEE">
              <w:rPr>
                <w:rFonts w:ascii="Gill Sans MT" w:eastAsia="Calibri" w:hAnsi="Gill Sans MT" w:cs="Arial"/>
              </w:rPr>
              <w:t>tenofovir</w:t>
            </w:r>
            <w:proofErr w:type="spellEnd"/>
            <w:r w:rsidRPr="00180CEE">
              <w:rPr>
                <w:rFonts w:ascii="Gill Sans MT" w:eastAsia="Calibri" w:hAnsi="Gill Sans MT" w:cs="Arial"/>
              </w:rPr>
              <w:t xml:space="preserve"> </w:t>
            </w:r>
            <w:proofErr w:type="spellStart"/>
            <w:r w:rsidRPr="00180CEE">
              <w:rPr>
                <w:rFonts w:ascii="Gill Sans MT" w:eastAsia="Calibri" w:hAnsi="Gill Sans MT" w:cs="Arial"/>
              </w:rPr>
              <w:t>disoproxil</w:t>
            </w:r>
            <w:proofErr w:type="spellEnd"/>
            <w:r w:rsidRPr="00180CEE">
              <w:rPr>
                <w:rFonts w:ascii="Gill Sans MT" w:eastAsia="Calibri" w:hAnsi="Gill Sans MT" w:cs="Arial"/>
              </w:rPr>
              <w:t xml:space="preserve"> fumarate, 200 mg </w:t>
            </w:r>
            <w:proofErr w:type="spellStart"/>
            <w:r w:rsidRPr="00180CEE">
              <w:rPr>
                <w:rFonts w:ascii="Gill Sans MT" w:eastAsia="Calibri" w:hAnsi="Gill Sans MT" w:cs="Arial"/>
              </w:rPr>
              <w:t>emtricitabine</w:t>
            </w:r>
            <w:proofErr w:type="spellEnd"/>
            <w:r w:rsidRPr="00180CEE">
              <w:rPr>
                <w:rFonts w:ascii="Gill Sans MT" w:eastAsia="Calibri" w:hAnsi="Gill Sans MT" w:cs="Arial"/>
              </w:rPr>
              <w:t>) or equivalent</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A follow-up appointment date</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bl>
    <w:p w:rsidR="00180CEE" w:rsidRPr="00180CEE" w:rsidRDefault="00180CEE" w:rsidP="00180CEE">
      <w:pPr>
        <w:pStyle w:val="DHHSbodyaftertablefigure"/>
        <w:spacing w:before="0" w:after="140" w:line="300" w:lineRule="atLeast"/>
        <w:rPr>
          <w:rFonts w:ascii="Gill Sans MT" w:hAnsi="Gill Sans MT" w:cs="Arial"/>
          <w:b/>
        </w:rPr>
      </w:pPr>
      <w:r w:rsidRPr="00180CEE">
        <w:rPr>
          <w:rFonts w:ascii="Gill Sans MT" w:hAnsi="Gill Sans MT" w:cs="Arial"/>
          <w:b/>
        </w:rPr>
        <w:t>As the doctor, I will:</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 xml:space="preserve">Limit refill periods to recommended intervals for repeat HIV testing (at least every </w:t>
      </w:r>
      <w:r w:rsidR="002F3599">
        <w:rPr>
          <w:rFonts w:ascii="Gill Sans MT" w:hAnsi="Gill Sans MT" w:cs="Arial"/>
        </w:rPr>
        <w:t>three</w:t>
      </w:r>
      <w:r w:rsidRPr="00180CEE">
        <w:rPr>
          <w:rFonts w:ascii="Gill Sans MT" w:hAnsi="Gill Sans MT" w:cs="Arial"/>
        </w:rPr>
        <w:t xml:space="preserve"> months)</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 xml:space="preserve">Conduct follow-up visits at least every </w:t>
      </w:r>
      <w:r w:rsidR="002F3599">
        <w:rPr>
          <w:rFonts w:ascii="Gill Sans MT" w:hAnsi="Gill Sans MT" w:cs="Arial"/>
        </w:rPr>
        <w:t>three</w:t>
      </w:r>
      <w:r w:rsidRPr="00180CEE">
        <w:rPr>
          <w:rFonts w:ascii="Gill Sans MT" w:hAnsi="Gill Sans MT" w:cs="Arial"/>
        </w:rPr>
        <w:t xml:space="preserve"> months that include the following:</w:t>
      </w:r>
    </w:p>
    <w:p w:rsidR="00180CEE" w:rsidRPr="00180CEE" w:rsidRDefault="00180CEE" w:rsidP="008B71AD">
      <w:pPr>
        <w:pStyle w:val="DHHSbullet2"/>
        <w:spacing w:after="140" w:line="300" w:lineRule="atLeast"/>
        <w:ind w:left="1134" w:hanging="567"/>
        <w:rPr>
          <w:rFonts w:ascii="Gill Sans MT" w:hAnsi="Gill Sans MT" w:cs="Arial"/>
        </w:rPr>
      </w:pPr>
      <w:r w:rsidRPr="00180CEE">
        <w:rPr>
          <w:rFonts w:ascii="Gill Sans MT" w:hAnsi="Gill Sans MT" w:cs="Arial"/>
        </w:rPr>
        <w:t>Assessment of HIV status (including signs or symptoms of acute HIV infection)</w:t>
      </w:r>
    </w:p>
    <w:p w:rsidR="00180CEE" w:rsidRPr="00180CEE" w:rsidRDefault="00180CEE" w:rsidP="008B71AD">
      <w:pPr>
        <w:pStyle w:val="DHHSbullet2"/>
        <w:spacing w:after="140" w:line="300" w:lineRule="atLeast"/>
        <w:ind w:left="1134" w:hanging="567"/>
        <w:rPr>
          <w:rFonts w:ascii="Gill Sans MT" w:hAnsi="Gill Sans MT" w:cs="Arial"/>
        </w:rPr>
      </w:pPr>
      <w:r w:rsidRPr="00180CEE">
        <w:rPr>
          <w:rFonts w:ascii="Gill Sans MT" w:hAnsi="Gill Sans MT" w:cs="Arial"/>
        </w:rPr>
        <w:t>Assessment of side effects and advice on how to manage them</w:t>
      </w:r>
    </w:p>
    <w:p w:rsidR="00180CEE" w:rsidRPr="00180CEE" w:rsidRDefault="00180CEE" w:rsidP="008B71AD">
      <w:pPr>
        <w:pStyle w:val="DHHSbullet2"/>
        <w:spacing w:after="140" w:line="300" w:lineRule="atLeast"/>
        <w:ind w:left="1134" w:hanging="567"/>
        <w:rPr>
          <w:rFonts w:ascii="Gill Sans MT" w:hAnsi="Gill Sans MT" w:cs="Arial"/>
        </w:rPr>
      </w:pPr>
      <w:r w:rsidRPr="00180CEE">
        <w:rPr>
          <w:rFonts w:ascii="Gill Sans MT" w:hAnsi="Gill Sans MT" w:cs="Arial"/>
        </w:rPr>
        <w:t>Assessment of medication adherence and counselling to support adherence</w:t>
      </w:r>
    </w:p>
    <w:p w:rsidR="00180CEE" w:rsidRPr="00180CEE" w:rsidRDefault="00180CEE" w:rsidP="008B71AD">
      <w:pPr>
        <w:pStyle w:val="DHHSbullet2"/>
        <w:spacing w:after="140" w:line="300" w:lineRule="atLeast"/>
        <w:ind w:left="1134" w:hanging="567"/>
        <w:rPr>
          <w:rFonts w:ascii="Gill Sans MT" w:hAnsi="Gill Sans MT" w:cs="Arial"/>
        </w:rPr>
      </w:pPr>
      <w:r w:rsidRPr="00180CEE">
        <w:rPr>
          <w:rFonts w:ascii="Gill Sans MT" w:hAnsi="Gill Sans MT" w:cs="Arial"/>
        </w:rPr>
        <w:lastRenderedPageBreak/>
        <w:t>Assessment of STI symptoms, HIV risk behaviour and counselling for risk-reduction practices</w:t>
      </w:r>
    </w:p>
    <w:p w:rsidR="00180CEE" w:rsidRPr="00180CEE" w:rsidRDefault="00180CEE" w:rsidP="00180CEE">
      <w:pPr>
        <w:pStyle w:val="DHHSbullet1"/>
        <w:spacing w:after="140" w:line="300" w:lineRule="atLeast"/>
        <w:rPr>
          <w:rFonts w:ascii="Gill Sans MT" w:hAnsi="Gill Sans MT" w:cs="Arial"/>
        </w:rPr>
      </w:pPr>
      <w:r w:rsidRPr="00180CEE">
        <w:rPr>
          <w:rFonts w:ascii="Gill Sans MT" w:hAnsi="Gill Sans MT" w:cs="Arial"/>
        </w:rPr>
        <w:t xml:space="preserve">Inform the patient of any new information about </w:t>
      </w:r>
      <w:proofErr w:type="spellStart"/>
      <w:r w:rsidRPr="00180CEE">
        <w:rPr>
          <w:rFonts w:ascii="Gill Sans MT" w:hAnsi="Gill Sans MT" w:cs="Arial"/>
        </w:rPr>
        <w:t>PrEP</w:t>
      </w:r>
      <w:proofErr w:type="spellEnd"/>
      <w:r w:rsidRPr="00180CEE">
        <w:rPr>
          <w:rFonts w:ascii="Gill Sans MT" w:hAnsi="Gill Sans MT" w:cs="Arial"/>
        </w:rPr>
        <w:t xml:space="preserve"> and respond to questions</w:t>
      </w:r>
    </w:p>
    <w:p w:rsidR="00180CEE" w:rsidRPr="00180CEE" w:rsidRDefault="00180CEE" w:rsidP="00180CEE">
      <w:pPr>
        <w:pStyle w:val="Heading2"/>
        <w:spacing w:before="0" w:after="140" w:line="300" w:lineRule="atLeast"/>
        <w:rPr>
          <w:rFonts w:ascii="Gill Sans MT" w:eastAsia="Calibri" w:hAnsi="Gill Sans MT" w:cs="Arial"/>
        </w:rPr>
      </w:pPr>
      <w:bookmarkStart w:id="26" w:name="_Toc511722714"/>
      <w:r w:rsidRPr="00180CEE">
        <w:rPr>
          <w:rFonts w:ascii="Gill Sans MT" w:eastAsia="Calibri" w:hAnsi="Gill Sans MT" w:cs="Arial"/>
        </w:rPr>
        <w:t>Patient section</w:t>
      </w:r>
      <w:bookmarkEnd w:id="26"/>
    </w:p>
    <w:p w:rsidR="00180CEE" w:rsidRPr="00180CEE" w:rsidRDefault="00180CEE" w:rsidP="00180CEE">
      <w:pPr>
        <w:autoSpaceDE w:val="0"/>
        <w:autoSpaceDN w:val="0"/>
        <w:adjustRightInd w:val="0"/>
        <w:rPr>
          <w:rFonts w:eastAsia="Calibri" w:cs="Arial"/>
          <w:b/>
        </w:rPr>
      </w:pPr>
      <w:r w:rsidRPr="00180CEE">
        <w:rPr>
          <w:rFonts w:eastAsia="Calibri" w:cs="Arial"/>
          <w:b/>
        </w:rPr>
        <w:t>It has been explained to me that: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8"/>
        <w:gridCol w:w="466"/>
      </w:tblGrid>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 xml:space="preserve">Taking a dose of </w:t>
            </w:r>
            <w:proofErr w:type="spellStart"/>
            <w:r w:rsidRPr="00180CEE">
              <w:rPr>
                <w:rFonts w:ascii="Gill Sans MT" w:eastAsia="Calibri" w:hAnsi="Gill Sans MT" w:cs="Arial"/>
              </w:rPr>
              <w:t>PrEP</w:t>
            </w:r>
            <w:proofErr w:type="spellEnd"/>
            <w:r w:rsidRPr="00180CEE">
              <w:rPr>
                <w:rFonts w:ascii="Gill Sans MT" w:eastAsia="Calibri" w:hAnsi="Gill Sans MT" w:cs="Arial"/>
              </w:rPr>
              <w:t xml:space="preserve"> medication every day will lower my risk of getting HIV infection</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 xml:space="preserve">This medicine does not completely eliminate my risk of getting HIV infection </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Concurrent condom use will help to protect me against other sexually transmissible infections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hAnsi="Gill Sans MT" w:cs="Arial"/>
              </w:rPr>
            </w:pPr>
            <w:r w:rsidRPr="00180CEE">
              <w:rPr>
                <w:rFonts w:ascii="Gill Sans MT" w:eastAsia="Calibri" w:hAnsi="Gill Sans MT" w:cs="Arial"/>
              </w:rPr>
              <w:t>This medicine may cause side effects so I should discuss these at my next visit if I experience any of the side effects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180CEE">
            <w:pPr>
              <w:pStyle w:val="DHHStabletext"/>
              <w:spacing w:before="0" w:after="140" w:line="300" w:lineRule="atLeast"/>
              <w:rPr>
                <w:rFonts w:ascii="Gill Sans MT" w:eastAsia="Calibri" w:hAnsi="Gill Sans MT" w:cs="Arial"/>
              </w:rPr>
            </w:pPr>
            <w:r w:rsidRPr="00180CEE">
              <w:rPr>
                <w:rFonts w:ascii="Gill Sans MT" w:eastAsia="Calibri" w:hAnsi="Gill Sans MT" w:cs="Arial"/>
              </w:rPr>
              <w:t xml:space="preserve">Even though it is unlikely that I will contract HIV while adhering to my medication, it is important for my health to find out quickly if this happens, so: </w:t>
            </w:r>
          </w:p>
          <w:p w:rsidR="00180CEE" w:rsidRPr="00180CEE" w:rsidRDefault="00180CEE" w:rsidP="008B71AD">
            <w:pPr>
              <w:pStyle w:val="DHHStablebullet"/>
              <w:spacing w:before="0" w:after="140" w:line="300" w:lineRule="atLeast"/>
              <w:ind w:hanging="601"/>
              <w:rPr>
                <w:rFonts w:ascii="Gill Sans MT" w:hAnsi="Gill Sans MT" w:cs="Arial"/>
              </w:rPr>
            </w:pPr>
            <w:r w:rsidRPr="00180CEE">
              <w:rPr>
                <w:rFonts w:ascii="Gill Sans MT" w:eastAsia="Calibri" w:hAnsi="Gill Sans MT" w:cs="Arial"/>
              </w:rPr>
              <w:t>I will attend for testing if I have symptoms of possible HIV infection (fever with sore throat, rash, headache, or swollen glands)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r w:rsidR="00180CEE" w:rsidRPr="00180CEE" w:rsidTr="00F2210D">
        <w:trPr>
          <w:trHeight w:val="600"/>
        </w:trPr>
        <w:tc>
          <w:tcPr>
            <w:tcW w:w="8931" w:type="dxa"/>
            <w:tcBorders>
              <w:top w:val="single" w:sz="4" w:space="0" w:color="7F7F7F"/>
              <w:left w:val="nil"/>
              <w:bottom w:val="single" w:sz="4" w:space="0" w:color="7F7F7F"/>
              <w:right w:val="single" w:sz="4" w:space="0" w:color="7F7F7F"/>
            </w:tcBorders>
            <w:shd w:val="clear" w:color="auto" w:fill="auto"/>
          </w:tcPr>
          <w:p w:rsidR="00180CEE" w:rsidRPr="00180CEE" w:rsidRDefault="00180CEE" w:rsidP="002F3599">
            <w:pPr>
              <w:pStyle w:val="DHHStabletext"/>
              <w:spacing w:before="0" w:after="140" w:line="300" w:lineRule="atLeast"/>
              <w:rPr>
                <w:rFonts w:ascii="Gill Sans MT" w:hAnsi="Gill Sans MT" w:cs="Arial"/>
              </w:rPr>
            </w:pPr>
            <w:r w:rsidRPr="00180CEE">
              <w:rPr>
                <w:rFonts w:ascii="Gill Sans MT" w:eastAsia="Calibri" w:hAnsi="Gill Sans MT" w:cs="Arial"/>
              </w:rPr>
              <w:t xml:space="preserve">My doctor will test for HIV infection at least once every </w:t>
            </w:r>
            <w:r w:rsidR="002F3599">
              <w:rPr>
                <w:rFonts w:ascii="Gill Sans MT" w:eastAsia="Calibri" w:hAnsi="Gill Sans MT" w:cs="Arial"/>
              </w:rPr>
              <w:t>three</w:t>
            </w:r>
            <w:r w:rsidRPr="00180CEE">
              <w:rPr>
                <w:rFonts w:ascii="Gill Sans MT" w:eastAsia="Calibri" w:hAnsi="Gill Sans MT" w:cs="Arial"/>
              </w:rPr>
              <w:t xml:space="preserve"> months</w:t>
            </w:r>
          </w:p>
        </w:tc>
        <w:tc>
          <w:tcPr>
            <w:tcW w:w="475" w:type="dxa"/>
            <w:tcBorders>
              <w:top w:val="single" w:sz="4" w:space="0" w:color="000000"/>
              <w:left w:val="single" w:sz="4" w:space="0" w:color="7F7F7F"/>
              <w:bottom w:val="single" w:sz="4" w:space="0" w:color="000000"/>
              <w:right w:val="single" w:sz="4" w:space="0" w:color="000000"/>
            </w:tcBorders>
            <w:shd w:val="clear" w:color="auto" w:fill="auto"/>
          </w:tcPr>
          <w:p w:rsidR="00180CEE" w:rsidRPr="00180CEE" w:rsidRDefault="00180CEE" w:rsidP="00180CEE">
            <w:pPr>
              <w:pStyle w:val="DHHStabletext"/>
              <w:spacing w:before="0" w:after="140" w:line="300" w:lineRule="atLeast"/>
              <w:jc w:val="right"/>
              <w:rPr>
                <w:rFonts w:ascii="Gill Sans MT" w:hAnsi="Gill Sans MT" w:cs="Arial"/>
              </w:rPr>
            </w:pPr>
          </w:p>
        </w:tc>
      </w:tr>
    </w:tbl>
    <w:p w:rsidR="00180CEE" w:rsidRPr="00180CEE" w:rsidRDefault="00180CEE" w:rsidP="00180CEE">
      <w:pPr>
        <w:pStyle w:val="DHHSbodyaftertablefigure"/>
        <w:spacing w:before="0" w:after="140" w:line="300" w:lineRule="atLeast"/>
        <w:rPr>
          <w:rFonts w:ascii="Gill Sans MT" w:hAnsi="Gill Sans MT" w:cs="Arial"/>
          <w:b/>
        </w:rPr>
      </w:pPr>
      <w:r w:rsidRPr="00180CEE">
        <w:rPr>
          <w:rFonts w:ascii="Gill Sans MT" w:hAnsi="Gill Sans MT" w:cs="Arial"/>
          <w:b/>
        </w:rPr>
        <w:t>Therefore, I will:</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try my best to take the medication my provider has prescribed every day</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talk to my doctor about any problems I have in taking the medication every day</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not share the medication with any other person</w:t>
      </w:r>
    </w:p>
    <w:p w:rsidR="00180CEE" w:rsidRPr="00180CEE" w:rsidRDefault="00180CEE" w:rsidP="008B71AD">
      <w:pPr>
        <w:pStyle w:val="DHHSbullet1"/>
        <w:spacing w:after="140" w:line="300" w:lineRule="atLeast"/>
        <w:ind w:left="567" w:hanging="567"/>
        <w:rPr>
          <w:rFonts w:ascii="Gill Sans MT" w:hAnsi="Gill Sans MT" w:cs="Arial"/>
        </w:rPr>
      </w:pPr>
      <w:r w:rsidRPr="00180CEE">
        <w:rPr>
          <w:rFonts w:ascii="Gill Sans MT" w:hAnsi="Gill Sans MT" w:cs="Arial"/>
        </w:rPr>
        <w:t>attend all my scheduled appointments</w:t>
      </w:r>
    </w:p>
    <w:p w:rsidR="00180CEE" w:rsidRPr="00180CEE" w:rsidRDefault="00180CEE" w:rsidP="008B71AD">
      <w:pPr>
        <w:pStyle w:val="DHHSbullet1"/>
        <w:spacing w:after="140" w:line="300" w:lineRule="atLeast"/>
        <w:ind w:left="567" w:hanging="567"/>
        <w:rPr>
          <w:rFonts w:ascii="Gill Sans MT" w:hAnsi="Gill Sans MT" w:cs="Arial"/>
        </w:rPr>
      </w:pPr>
      <w:proofErr w:type="gramStart"/>
      <w:r w:rsidRPr="00180CEE">
        <w:rPr>
          <w:rFonts w:ascii="Gill Sans MT" w:hAnsi="Gill Sans MT" w:cs="Arial"/>
        </w:rPr>
        <w:t>call</w:t>
      </w:r>
      <w:proofErr w:type="gramEnd"/>
      <w:r w:rsidRPr="00180CEE">
        <w:rPr>
          <w:rFonts w:ascii="Gill Sans MT" w:hAnsi="Gill Sans MT" w:cs="Arial"/>
        </w:rPr>
        <w:t xml:space="preserve"> ____________________________ to reschedule any appointments I cannot attend.</w:t>
      </w:r>
    </w:p>
    <w:p w:rsidR="00180CEE" w:rsidRPr="00180CEE" w:rsidRDefault="00180CEE" w:rsidP="00180CEE">
      <w:pPr>
        <w:pStyle w:val="DHHSbody"/>
        <w:spacing w:after="140" w:line="300" w:lineRule="atLeast"/>
        <w:jc w:val="center"/>
        <w:rPr>
          <w:rFonts w:ascii="Gill Sans MT" w:hAnsi="Gill Sans MT" w:cs="Arial"/>
          <w:b/>
          <w:sz w:val="28"/>
          <w:szCs w:val="28"/>
        </w:rPr>
      </w:pPr>
      <w:r w:rsidRPr="00180CEE">
        <w:rPr>
          <w:rFonts w:ascii="Gill Sans MT" w:hAnsi="Gill Sans MT" w:cs="Arial"/>
          <w:b/>
          <w:sz w:val="28"/>
          <w:szCs w:val="28"/>
        </w:rPr>
        <w:t>Give one copy to patient</w:t>
      </w:r>
    </w:p>
    <w:p w:rsidR="00180CEE" w:rsidRPr="00180CEE" w:rsidRDefault="00180CEE" w:rsidP="00180CEE">
      <w:pPr>
        <w:pStyle w:val="Heading2"/>
        <w:spacing w:before="0" w:after="140" w:line="300" w:lineRule="atLeast"/>
        <w:rPr>
          <w:rFonts w:ascii="Gill Sans MT" w:eastAsia="Calibri" w:hAnsi="Gill Sans MT" w:cs="Arial"/>
        </w:rPr>
      </w:pPr>
      <w:bookmarkStart w:id="27" w:name="_Toc511722715"/>
      <w:r w:rsidRPr="00180CEE">
        <w:rPr>
          <w:rFonts w:ascii="Gill Sans MT" w:eastAsia="Calibri" w:hAnsi="Gill Sans MT" w:cs="Arial"/>
        </w:rPr>
        <w:t>Clinical audit</w:t>
      </w:r>
      <w:bookmarkEnd w:id="27"/>
    </w:p>
    <w:p w:rsidR="00180CEE" w:rsidRPr="00180CEE" w:rsidRDefault="00180CEE" w:rsidP="00180CEE">
      <w:pPr>
        <w:pStyle w:val="DHHSbullet1"/>
        <w:spacing w:after="140" w:line="300" w:lineRule="atLeast"/>
        <w:rPr>
          <w:rFonts w:ascii="Gill Sans MT" w:hAnsi="Gill Sans MT" w:cs="Arial"/>
        </w:rPr>
      </w:pPr>
      <w:r w:rsidRPr="00180CEE">
        <w:rPr>
          <w:rFonts w:ascii="Gill Sans MT" w:hAnsi="Gill Sans MT" w:cs="Arial"/>
        </w:rPr>
        <w:t xml:space="preserve">Patient consents for health information to be used in a de-identified clinical audit: </w:t>
      </w:r>
    </w:p>
    <w:p w:rsidR="00180CEE" w:rsidRPr="00180CEE" w:rsidRDefault="00180CEE" w:rsidP="00180CEE">
      <w:pPr>
        <w:pStyle w:val="DHHSbody"/>
        <w:spacing w:after="140" w:line="300" w:lineRule="atLeast"/>
        <w:ind w:firstLine="284"/>
        <w:rPr>
          <w:rFonts w:ascii="Gill Sans MT" w:hAnsi="Gill Sans MT" w:cs="Arial"/>
        </w:rPr>
      </w:pPr>
      <w:r w:rsidRPr="00180CEE">
        <w:rPr>
          <w:rFonts w:ascii="Gill Sans MT" w:hAnsi="Gill Sans MT" w:cs="Arial"/>
          <w:b/>
        </w:rPr>
        <w:t>YES / NO</w:t>
      </w:r>
      <w:r w:rsidRPr="00180CEE">
        <w:rPr>
          <w:rFonts w:ascii="Gill Sans MT" w:hAnsi="Gill Sans MT" w:cs="Arial"/>
        </w:rPr>
        <w:t xml:space="preserve"> (please circle)</w:t>
      </w:r>
    </w:p>
    <w:p w:rsidR="00180CEE" w:rsidRPr="00180CEE" w:rsidRDefault="00180CEE" w:rsidP="00180CEE">
      <w:pPr>
        <w:pStyle w:val="DHHSbullet1"/>
        <w:spacing w:after="140" w:line="300" w:lineRule="atLeast"/>
        <w:rPr>
          <w:rFonts w:ascii="Gill Sans MT" w:hAnsi="Gill Sans MT" w:cs="Arial"/>
        </w:rPr>
      </w:pPr>
      <w:r w:rsidRPr="00180CEE">
        <w:rPr>
          <w:rFonts w:ascii="Gill Sans MT" w:hAnsi="Gill Sans MT" w:cs="Arial"/>
        </w:rPr>
        <w:t>Record patient’s file number on clinical audit sheet</w:t>
      </w:r>
    </w:p>
    <w:p w:rsidR="00180CEE" w:rsidRPr="00180CEE" w:rsidRDefault="00180CEE" w:rsidP="00180CEE">
      <w:pPr>
        <w:pStyle w:val="Heading3"/>
        <w:spacing w:before="0" w:after="140" w:line="300" w:lineRule="atLeast"/>
        <w:rPr>
          <w:rFonts w:ascii="Gill Sans MT" w:hAnsi="Gill Sans MT" w:cs="Arial"/>
        </w:rPr>
      </w:pPr>
      <w:r w:rsidRPr="00180CEE">
        <w:rPr>
          <w:rFonts w:ascii="Gill Sans MT" w:hAnsi="Gill Sans MT" w:cs="Arial"/>
        </w:rPr>
        <w:t>Patient consent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472"/>
      </w:tblGrid>
      <w:tr w:rsidR="00180CEE" w:rsidRPr="00180CEE" w:rsidTr="00F2210D">
        <w:trPr>
          <w:trHeight w:val="694"/>
        </w:trPr>
        <w:tc>
          <w:tcPr>
            <w:tcW w:w="2694" w:type="dxa"/>
            <w:tcBorders>
              <w:top w:val="nil"/>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Signature of patient</w:t>
            </w:r>
          </w:p>
        </w:tc>
        <w:tc>
          <w:tcPr>
            <w:tcW w:w="6712" w:type="dxa"/>
            <w:tcBorders>
              <w:top w:val="nil"/>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eastAsia="Calibri" w:hAnsi="Gill Sans MT" w:cs="Arial"/>
              </w:rPr>
            </w:pPr>
          </w:p>
        </w:tc>
      </w:tr>
      <w:tr w:rsidR="00180CEE" w:rsidRPr="00180CEE" w:rsidTr="00F2210D">
        <w:trPr>
          <w:trHeight w:val="689"/>
        </w:trPr>
        <w:tc>
          <w:tcPr>
            <w:tcW w:w="2694" w:type="dxa"/>
            <w:tcBorders>
              <w:top w:val="single" w:sz="4" w:space="0" w:color="000000"/>
              <w:left w:val="nil"/>
              <w:bottom w:val="single" w:sz="4" w:space="0" w:color="000000"/>
              <w:right w:val="nil"/>
            </w:tcBorders>
            <w:shd w:val="clear" w:color="auto" w:fill="auto"/>
            <w:vAlign w:val="bottom"/>
          </w:tcPr>
          <w:p w:rsidR="00180CEE" w:rsidRPr="00180CEE" w:rsidRDefault="00180CEE" w:rsidP="00180CEE">
            <w:pPr>
              <w:pStyle w:val="DHHStabletext"/>
              <w:spacing w:before="0" w:after="140" w:line="300" w:lineRule="atLeast"/>
              <w:rPr>
                <w:rFonts w:ascii="Gill Sans MT" w:eastAsia="Calibri" w:hAnsi="Gill Sans MT" w:cs="Arial"/>
                <w:b/>
              </w:rPr>
            </w:pPr>
            <w:r w:rsidRPr="00180CEE">
              <w:rPr>
                <w:rFonts w:ascii="Gill Sans MT" w:eastAsia="Calibri" w:hAnsi="Gill Sans MT" w:cs="Arial"/>
                <w:b/>
              </w:rPr>
              <w:t>Date (day/month/year)</w:t>
            </w:r>
          </w:p>
        </w:tc>
        <w:tc>
          <w:tcPr>
            <w:tcW w:w="6712" w:type="dxa"/>
            <w:tcBorders>
              <w:top w:val="single" w:sz="4" w:space="0" w:color="000000"/>
              <w:left w:val="nil"/>
              <w:bottom w:val="single" w:sz="4" w:space="0" w:color="000000"/>
              <w:right w:val="nil"/>
            </w:tcBorders>
            <w:shd w:val="clear" w:color="auto" w:fill="auto"/>
          </w:tcPr>
          <w:p w:rsidR="00180CEE" w:rsidRPr="00180CEE" w:rsidRDefault="00180CEE" w:rsidP="00180CEE">
            <w:pPr>
              <w:pStyle w:val="DHHStabletext"/>
              <w:spacing w:before="0" w:after="140" w:line="300" w:lineRule="atLeast"/>
              <w:rPr>
                <w:rFonts w:ascii="Gill Sans MT" w:eastAsia="Calibri" w:hAnsi="Gill Sans MT" w:cs="Arial"/>
              </w:rPr>
            </w:pPr>
          </w:p>
        </w:tc>
      </w:tr>
    </w:tbl>
    <w:p w:rsidR="00180CEE" w:rsidRPr="00180CEE" w:rsidRDefault="00180CEE" w:rsidP="00180CEE">
      <w:pPr>
        <w:pStyle w:val="Heading1"/>
        <w:spacing w:before="0" w:after="140" w:line="300" w:lineRule="atLeast"/>
        <w:rPr>
          <w:rFonts w:ascii="Gill Sans MT" w:eastAsia="Times" w:hAnsi="Gill Sans MT" w:cs="Arial"/>
          <w:b/>
          <w:sz w:val="18"/>
          <w:szCs w:val="18"/>
        </w:rPr>
      </w:pPr>
      <w:r w:rsidRPr="00180CEE">
        <w:rPr>
          <w:rFonts w:ascii="Gill Sans MT" w:eastAsia="Times" w:hAnsi="Gill Sans MT" w:cs="Arial"/>
          <w:b/>
          <w:sz w:val="18"/>
          <w:szCs w:val="18"/>
        </w:rPr>
        <w:br w:type="page"/>
      </w:r>
    </w:p>
    <w:p w:rsidR="00180CEE" w:rsidRPr="00180CEE" w:rsidRDefault="00180CEE" w:rsidP="00180CEE">
      <w:pPr>
        <w:pStyle w:val="Heading1"/>
        <w:spacing w:before="0" w:after="140" w:line="300" w:lineRule="atLeast"/>
        <w:rPr>
          <w:rFonts w:ascii="Gill Sans MT" w:hAnsi="Gill Sans MT"/>
        </w:rPr>
      </w:pPr>
      <w:bookmarkStart w:id="28" w:name="_Toc511722716"/>
      <w:r w:rsidRPr="00180CEE">
        <w:rPr>
          <w:rFonts w:ascii="Gill Sans MT" w:hAnsi="Gill Sans MT" w:cs="Arial"/>
        </w:rPr>
        <w:lastRenderedPageBreak/>
        <w:t>Appendix 3</w:t>
      </w:r>
      <w:bookmarkEnd w:id="28"/>
    </w:p>
    <w:p w:rsidR="0079445E" w:rsidRPr="0079445E" w:rsidRDefault="0079445E" w:rsidP="0079445E">
      <w:pPr>
        <w:pStyle w:val="MainHeading"/>
        <w:spacing w:before="360" w:after="140"/>
        <w:ind w:left="0" w:right="108"/>
        <w:rPr>
          <w:color w:val="005395"/>
          <w:sz w:val="56"/>
          <w:szCs w:val="56"/>
        </w:rPr>
      </w:pPr>
      <w:proofErr w:type="spellStart"/>
      <w:r w:rsidRPr="0079445E">
        <w:rPr>
          <w:color w:val="005395"/>
          <w:sz w:val="56"/>
          <w:szCs w:val="56"/>
        </w:rPr>
        <w:t>PrEP</w:t>
      </w:r>
      <w:proofErr w:type="spellEnd"/>
      <w:r w:rsidRPr="0079445E">
        <w:rPr>
          <w:color w:val="005395"/>
          <w:sz w:val="56"/>
          <w:szCs w:val="56"/>
        </w:rPr>
        <w:t>: HIV pre-exposure prophylaxis</w:t>
      </w:r>
    </w:p>
    <w:p w:rsidR="0079445E" w:rsidRPr="0079445E" w:rsidRDefault="0079445E" w:rsidP="0079445E">
      <w:pPr>
        <w:pStyle w:val="Subtitle2"/>
        <w:spacing w:after="140" w:line="300" w:lineRule="atLeast"/>
        <w:ind w:left="0" w:right="109"/>
        <w:rPr>
          <w:color w:val="09BEDD"/>
          <w:sz w:val="40"/>
          <w:szCs w:val="40"/>
        </w:rPr>
      </w:pPr>
      <w:r w:rsidRPr="0079445E">
        <w:rPr>
          <w:color w:val="09BEDD"/>
          <w:sz w:val="40"/>
          <w:szCs w:val="40"/>
        </w:rPr>
        <w:t>Fact sheet for GPs, nurses and healthcare workers</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The Commonwealth Government recently approved the listing of HIV pre-exposure prophylaxis, or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on the Pharmaceutical Benefits Scheme (PBS). From 1 April 2018 individuals at medium- to high-risk of HIV can access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through the PBS to help them reduce their risk of HIV.</w:t>
      </w:r>
    </w:p>
    <w:p w:rsidR="0079445E" w:rsidRPr="0079445E" w:rsidRDefault="0079445E" w:rsidP="0079445E">
      <w:pPr>
        <w:pStyle w:val="Heading2"/>
        <w:rPr>
          <w:rFonts w:ascii="Gill Sans MT" w:hAnsi="Gill Sans MT"/>
        </w:rPr>
      </w:pPr>
      <w:bookmarkStart w:id="29" w:name="_Toc511132154"/>
      <w:bookmarkStart w:id="30" w:name="_Toc511722717"/>
      <w:r w:rsidRPr="0079445E">
        <w:rPr>
          <w:rFonts w:ascii="Gill Sans MT" w:hAnsi="Gill Sans MT"/>
        </w:rPr>
        <w:t xml:space="preserve">What is </w:t>
      </w:r>
      <w:proofErr w:type="spellStart"/>
      <w:r w:rsidRPr="0079445E">
        <w:rPr>
          <w:rFonts w:ascii="Gill Sans MT" w:hAnsi="Gill Sans MT"/>
        </w:rPr>
        <w:t>PrEP</w:t>
      </w:r>
      <w:proofErr w:type="spellEnd"/>
      <w:r w:rsidRPr="0079445E">
        <w:rPr>
          <w:rFonts w:ascii="Gill Sans MT" w:hAnsi="Gill Sans MT"/>
        </w:rPr>
        <w:t>?</w:t>
      </w:r>
      <w:bookmarkEnd w:id="29"/>
      <w:bookmarkEnd w:id="30"/>
    </w:p>
    <w:p w:rsidR="0079445E" w:rsidRPr="009A7A07" w:rsidRDefault="0079445E" w:rsidP="0079445E">
      <w:pPr>
        <w:pStyle w:val="DHHSbody"/>
        <w:spacing w:after="140" w:line="300" w:lineRule="atLeast"/>
        <w:rPr>
          <w:rFonts w:ascii="Gill Sans MT" w:hAnsi="Gill Sans MT"/>
          <w:sz w:val="22"/>
          <w:szCs w:val="22"/>
        </w:rPr>
      </w:pP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is the use of HIV medications to prevent the transmission of HIV. When taken daily,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is up to 99 per cent effective in preventing HIV. Currently only one medication is approved for use as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w:t>
      </w:r>
      <w:proofErr w:type="spellStart"/>
      <w:r w:rsidRPr="009A7A07">
        <w:rPr>
          <w:rFonts w:ascii="Gill Sans MT" w:hAnsi="Gill Sans MT"/>
          <w:sz w:val="22"/>
          <w:szCs w:val="22"/>
        </w:rPr>
        <w:t>tenofovir</w:t>
      </w:r>
      <w:proofErr w:type="spellEnd"/>
      <w:r w:rsidRPr="009A7A07">
        <w:rPr>
          <w:rFonts w:ascii="Gill Sans MT" w:hAnsi="Gill Sans MT"/>
          <w:sz w:val="22"/>
          <w:szCs w:val="22"/>
        </w:rPr>
        <w:t>/</w:t>
      </w:r>
      <w:proofErr w:type="spellStart"/>
      <w:r w:rsidRPr="009A7A07">
        <w:rPr>
          <w:rFonts w:ascii="Gill Sans MT" w:hAnsi="Gill Sans MT"/>
          <w:sz w:val="22"/>
          <w:szCs w:val="22"/>
        </w:rPr>
        <w:t>emtricitabine</w:t>
      </w:r>
      <w:proofErr w:type="spellEnd"/>
      <w:r w:rsidRPr="009A7A07">
        <w:rPr>
          <w:rFonts w:ascii="Gill Sans MT" w:hAnsi="Gill Sans MT"/>
          <w:sz w:val="22"/>
          <w:szCs w:val="22"/>
        </w:rPr>
        <w:t xml:space="preserve">. It has been used for many years to treat HIV in people living with HIV. </w:t>
      </w:r>
    </w:p>
    <w:p w:rsidR="0079445E" w:rsidRPr="009A7A07" w:rsidRDefault="0079445E" w:rsidP="0079445E">
      <w:pPr>
        <w:pStyle w:val="DHHSbody"/>
        <w:spacing w:after="140" w:line="300" w:lineRule="atLeast"/>
        <w:rPr>
          <w:rFonts w:ascii="Gill Sans MT" w:hAnsi="Gill Sans MT"/>
          <w:sz w:val="22"/>
          <w:szCs w:val="22"/>
        </w:rPr>
      </w:pP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is one of many tools used to reduce the risk of HIV transmission, in addition to condoms and undetectable viral load (when a person living with HIV is on treatment, and is virally suppressed, they cannot transmit the virus).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does not prevent other sexually transmissible infections.</w:t>
      </w:r>
    </w:p>
    <w:p w:rsidR="0079445E" w:rsidRPr="0079445E" w:rsidRDefault="0079445E" w:rsidP="0079445E">
      <w:pPr>
        <w:pStyle w:val="Heading2"/>
        <w:rPr>
          <w:rFonts w:ascii="Gill Sans MT" w:hAnsi="Gill Sans MT"/>
        </w:rPr>
      </w:pPr>
      <w:bookmarkStart w:id="31" w:name="_Toc511132155"/>
      <w:bookmarkStart w:id="32" w:name="_Toc511722718"/>
      <w:r w:rsidRPr="0079445E">
        <w:rPr>
          <w:rFonts w:ascii="Gill Sans MT" w:hAnsi="Gill Sans MT"/>
        </w:rPr>
        <w:t xml:space="preserve">What is involved in prescribing </w:t>
      </w:r>
      <w:proofErr w:type="spellStart"/>
      <w:r w:rsidRPr="0079445E">
        <w:rPr>
          <w:rFonts w:ascii="Gill Sans MT" w:hAnsi="Gill Sans MT"/>
        </w:rPr>
        <w:t>PrEP</w:t>
      </w:r>
      <w:proofErr w:type="spellEnd"/>
      <w:r w:rsidRPr="0079445E">
        <w:rPr>
          <w:rFonts w:ascii="Gill Sans MT" w:hAnsi="Gill Sans MT"/>
        </w:rPr>
        <w:t>?</w:t>
      </w:r>
      <w:bookmarkEnd w:id="31"/>
      <w:bookmarkEnd w:id="32"/>
    </w:p>
    <w:p w:rsidR="0079445E" w:rsidRDefault="0079445E" w:rsidP="0079445E">
      <w:pPr>
        <w:pStyle w:val="EndnoteText"/>
        <w:spacing w:after="140" w:line="300" w:lineRule="atLeast"/>
        <w:rPr>
          <w:rFonts w:ascii="Gill Sans MT" w:hAnsi="Gill Sans MT" w:cs="Arial"/>
          <w:sz w:val="22"/>
          <w:szCs w:val="22"/>
        </w:rPr>
      </w:pPr>
      <w:r w:rsidRPr="009A7A07">
        <w:rPr>
          <w:rFonts w:ascii="Gill Sans MT" w:hAnsi="Gill Sans MT" w:cs="Arial"/>
          <w:sz w:val="22"/>
          <w:szCs w:val="22"/>
        </w:rPr>
        <w:t xml:space="preserve">Before prescribing </w:t>
      </w:r>
      <w:proofErr w:type="spellStart"/>
      <w:r w:rsidRPr="009A7A07">
        <w:rPr>
          <w:rFonts w:ascii="Gill Sans MT" w:hAnsi="Gill Sans MT" w:cs="Arial"/>
          <w:sz w:val="22"/>
          <w:szCs w:val="22"/>
        </w:rPr>
        <w:t>PrEP</w:t>
      </w:r>
      <w:proofErr w:type="spellEnd"/>
      <w:r w:rsidRPr="009A7A07">
        <w:rPr>
          <w:rFonts w:ascii="Gill Sans MT" w:hAnsi="Gill Sans MT" w:cs="Arial"/>
          <w:sz w:val="22"/>
          <w:szCs w:val="22"/>
        </w:rPr>
        <w:t xml:space="preserve">, prescribers should discuss the risk eligibility criteria with their patients. If a patient is considered eligible for </w:t>
      </w:r>
      <w:proofErr w:type="spellStart"/>
      <w:r w:rsidRPr="009A7A07">
        <w:rPr>
          <w:rFonts w:ascii="Gill Sans MT" w:hAnsi="Gill Sans MT" w:cs="Arial"/>
          <w:sz w:val="22"/>
          <w:szCs w:val="22"/>
        </w:rPr>
        <w:t>PrEP</w:t>
      </w:r>
      <w:proofErr w:type="spellEnd"/>
      <w:r w:rsidRPr="009A7A07">
        <w:rPr>
          <w:rFonts w:ascii="Gill Sans MT" w:hAnsi="Gill Sans MT" w:cs="Arial"/>
          <w:sz w:val="22"/>
          <w:szCs w:val="22"/>
        </w:rPr>
        <w:t xml:space="preserve">, prescribers should conduct an HIV test to confirm the patient is HIV negative. </w:t>
      </w:r>
    </w:p>
    <w:p w:rsidR="0079445E" w:rsidRDefault="0079445E" w:rsidP="0079445E">
      <w:pPr>
        <w:pStyle w:val="EndnoteText"/>
        <w:spacing w:after="140" w:line="300" w:lineRule="atLeast"/>
        <w:rPr>
          <w:rFonts w:ascii="Gill Sans MT" w:hAnsi="Gill Sans MT" w:cs="Arial"/>
          <w:sz w:val="22"/>
          <w:szCs w:val="22"/>
        </w:rPr>
      </w:pPr>
      <w:r w:rsidRPr="009A7A07">
        <w:rPr>
          <w:rFonts w:ascii="Gill Sans MT" w:hAnsi="Gill Sans MT" w:cs="Arial"/>
          <w:sz w:val="22"/>
          <w:szCs w:val="22"/>
        </w:rPr>
        <w:t xml:space="preserve">Prescribers should also test for sexually transmissible infections (STI), including gonorrhoea and chlamydia (rectal, throat and first void urine specimens), Hepatitis B </w:t>
      </w:r>
      <w:proofErr w:type="spellStart"/>
      <w:r w:rsidRPr="009A7A07">
        <w:rPr>
          <w:rFonts w:ascii="Gill Sans MT" w:hAnsi="Gill Sans MT" w:cs="Arial"/>
          <w:sz w:val="22"/>
          <w:szCs w:val="22"/>
        </w:rPr>
        <w:t>sAg</w:t>
      </w:r>
      <w:proofErr w:type="spellEnd"/>
      <w:r w:rsidRPr="009A7A07">
        <w:rPr>
          <w:rFonts w:ascii="Gill Sans MT" w:hAnsi="Gill Sans MT" w:cs="Arial"/>
          <w:sz w:val="22"/>
          <w:szCs w:val="22"/>
        </w:rPr>
        <w:t xml:space="preserve">, </w:t>
      </w:r>
      <w:proofErr w:type="spellStart"/>
      <w:r w:rsidRPr="009A7A07">
        <w:rPr>
          <w:rFonts w:ascii="Gill Sans MT" w:hAnsi="Gill Sans MT" w:cs="Arial"/>
          <w:sz w:val="22"/>
          <w:szCs w:val="22"/>
        </w:rPr>
        <w:t>sAb</w:t>
      </w:r>
      <w:proofErr w:type="spellEnd"/>
      <w:r w:rsidRPr="009A7A07">
        <w:rPr>
          <w:rFonts w:ascii="Gill Sans MT" w:hAnsi="Gill Sans MT" w:cs="Arial"/>
          <w:sz w:val="22"/>
          <w:szCs w:val="22"/>
        </w:rPr>
        <w:t xml:space="preserve"> and </w:t>
      </w:r>
      <w:proofErr w:type="spellStart"/>
      <w:r w:rsidRPr="009A7A07">
        <w:rPr>
          <w:rFonts w:ascii="Gill Sans MT" w:hAnsi="Gill Sans MT" w:cs="Arial"/>
          <w:sz w:val="22"/>
          <w:szCs w:val="22"/>
        </w:rPr>
        <w:t>cAb</w:t>
      </w:r>
      <w:proofErr w:type="spellEnd"/>
      <w:r w:rsidRPr="009A7A07">
        <w:rPr>
          <w:rFonts w:ascii="Gill Sans MT" w:hAnsi="Gill Sans MT" w:cs="Arial"/>
          <w:sz w:val="22"/>
          <w:szCs w:val="22"/>
        </w:rPr>
        <w:t xml:space="preserve"> and syphilis serology. </w:t>
      </w:r>
    </w:p>
    <w:p w:rsidR="0079445E" w:rsidRPr="009A7A07" w:rsidRDefault="0079445E" w:rsidP="0079445E">
      <w:pPr>
        <w:pStyle w:val="EndnoteText"/>
        <w:spacing w:after="140" w:line="300" w:lineRule="atLeast"/>
        <w:rPr>
          <w:rFonts w:ascii="Gill Sans MT" w:hAnsi="Gill Sans MT" w:cs="Arial"/>
          <w:sz w:val="22"/>
          <w:szCs w:val="22"/>
        </w:rPr>
      </w:pPr>
      <w:r w:rsidRPr="009A7A07">
        <w:rPr>
          <w:rFonts w:ascii="Gill Sans MT" w:hAnsi="Gill Sans MT" w:cs="Arial"/>
          <w:sz w:val="22"/>
          <w:szCs w:val="22"/>
        </w:rPr>
        <w:t xml:space="preserve">The Sexually Transmissible Infections in Gay Men Action Group’s (STIGMA) Australian Sexually Transmitted Infection and HIV Testing Guidelines </w:t>
      </w:r>
      <w:r w:rsidRPr="009A7A07">
        <w:rPr>
          <w:rFonts w:ascii="Gill Sans MT" w:hAnsi="Gill Sans MT" w:cs="Arial"/>
          <w:iCs/>
          <w:sz w:val="22"/>
          <w:szCs w:val="22"/>
        </w:rPr>
        <w:t xml:space="preserve">are available </w:t>
      </w:r>
      <w:r>
        <w:rPr>
          <w:rFonts w:ascii="Gill Sans MT" w:hAnsi="Gill Sans MT" w:cs="Arial"/>
          <w:iCs/>
          <w:sz w:val="22"/>
          <w:szCs w:val="22"/>
        </w:rPr>
        <w:t>at</w:t>
      </w:r>
      <w:r w:rsidRPr="009A7A07">
        <w:rPr>
          <w:rFonts w:ascii="Gill Sans MT" w:hAnsi="Gill Sans MT" w:cs="Arial"/>
          <w:iCs/>
          <w:sz w:val="22"/>
          <w:szCs w:val="22"/>
        </w:rPr>
        <w:t xml:space="preserve"> </w:t>
      </w:r>
      <w:hyperlink r:id="rId34" w:history="1">
        <w:r w:rsidRPr="009A7A07">
          <w:rPr>
            <w:rStyle w:val="Hyperlink"/>
            <w:rFonts w:ascii="Gill Sans MT" w:hAnsi="Gill Sans MT" w:cs="Arial"/>
            <w:sz w:val="22"/>
            <w:szCs w:val="22"/>
          </w:rPr>
          <w:t>https://stipu.nsw.gov.au/stigma/stihiv-testing-guidelines-for-msm/</w:t>
        </w:r>
      </w:hyperlink>
    </w:p>
    <w:p w:rsidR="0079445E"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Prescriptions may be issued for 90 days (a maximum dispensed quantity of 30, with two repeats). Patients should return for follow-up appointments every three months, where HIV and STI testing should be repeated. </w:t>
      </w:r>
    </w:p>
    <w:p w:rsidR="0079445E" w:rsidRPr="009A7A07" w:rsidRDefault="0079445E" w:rsidP="0079445E">
      <w:pPr>
        <w:pStyle w:val="DHHSbody"/>
        <w:spacing w:after="140" w:line="300" w:lineRule="atLeast"/>
        <w:rPr>
          <w:rFonts w:ascii="Gill Sans MT" w:hAnsi="Gill Sans MT"/>
          <w:sz w:val="22"/>
          <w:szCs w:val="22"/>
        </w:rPr>
      </w:pP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needs to be combined with regular testing for STI, timely treatment and prevention education (particularly in relation to the importance of condom use for STI prevention). Renal function should be performed regularly</w:t>
      </w:r>
      <w:r>
        <w:rPr>
          <w:rFonts w:ascii="Gill Sans MT" w:hAnsi="Gill Sans MT"/>
          <w:sz w:val="22"/>
          <w:szCs w:val="22"/>
        </w:rPr>
        <w:t xml:space="preserve"> and bone density periodically.</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Full prescribing guidelines and recommendations can be found in the </w:t>
      </w:r>
      <w:hyperlink r:id="rId35" w:history="1">
        <w:r w:rsidRPr="009A7A07">
          <w:rPr>
            <w:rStyle w:val="Hyperlink"/>
            <w:rFonts w:ascii="Gill Sans MT" w:hAnsi="Gill Sans MT"/>
            <w:i/>
            <w:sz w:val="22"/>
            <w:szCs w:val="22"/>
          </w:rPr>
          <w:t>Australasian Society for HIV, Viral Hepatitis and Sexual Health Medicine HIV pre-exposure prophylaxis: clinical guidelines</w:t>
        </w:r>
      </w:hyperlink>
      <w:r w:rsidRPr="009A7A07">
        <w:rPr>
          <w:rFonts w:ascii="Gill Sans MT" w:hAnsi="Gill Sans MT"/>
          <w:sz w:val="22"/>
          <w:szCs w:val="22"/>
        </w:rPr>
        <w:t>,</w:t>
      </w:r>
      <w:r w:rsidRPr="009A7A07">
        <w:rPr>
          <w:rFonts w:ascii="Gill Sans MT" w:hAnsi="Gill Sans MT"/>
        </w:rPr>
        <w:t xml:space="preserve"> </w:t>
      </w:r>
      <w:r w:rsidRPr="009A7A07">
        <w:rPr>
          <w:rFonts w:ascii="Gill Sans MT" w:hAnsi="Gill Sans MT"/>
          <w:sz w:val="22"/>
          <w:szCs w:val="22"/>
        </w:rPr>
        <w:t xml:space="preserve">known as the ASHM Guidelines. Prescribers can also review the </w:t>
      </w:r>
      <w:hyperlink r:id="rId36" w:history="1">
        <w:r w:rsidRPr="003763C3">
          <w:rPr>
            <w:rStyle w:val="Hyperlink"/>
            <w:rFonts w:ascii="Gill Sans MT" w:hAnsi="Gill Sans MT"/>
            <w:i/>
            <w:sz w:val="22"/>
            <w:szCs w:val="22"/>
          </w:rPr>
          <w:t>Tasmanian guidance on pre-exposure prophylaxis (</w:t>
        </w:r>
        <w:proofErr w:type="spellStart"/>
        <w:r w:rsidRPr="003763C3">
          <w:rPr>
            <w:rStyle w:val="Hyperlink"/>
            <w:rFonts w:ascii="Gill Sans MT" w:hAnsi="Gill Sans MT"/>
            <w:i/>
            <w:sz w:val="22"/>
            <w:szCs w:val="22"/>
          </w:rPr>
          <w:t>PrEP</w:t>
        </w:r>
        <w:proofErr w:type="spellEnd"/>
        <w:r w:rsidRPr="003763C3">
          <w:rPr>
            <w:rStyle w:val="Hyperlink"/>
            <w:rFonts w:ascii="Gill Sans MT" w:hAnsi="Gill Sans MT"/>
            <w:i/>
            <w:sz w:val="22"/>
            <w:szCs w:val="22"/>
          </w:rPr>
          <w:t>)</w:t>
        </w:r>
      </w:hyperlink>
      <w:r w:rsidRPr="009A7A07">
        <w:rPr>
          <w:rFonts w:ascii="Gill Sans MT" w:hAnsi="Gill Sans MT"/>
          <w:sz w:val="22"/>
          <w:szCs w:val="22"/>
        </w:rPr>
        <w:t xml:space="preserve"> for information on how to prescribe </w:t>
      </w:r>
      <w:proofErr w:type="spellStart"/>
      <w:r w:rsidRPr="009A7A07">
        <w:rPr>
          <w:rFonts w:ascii="Gill Sans MT" w:hAnsi="Gill Sans MT"/>
          <w:sz w:val="22"/>
          <w:szCs w:val="22"/>
        </w:rPr>
        <w:t>PrEP.</w:t>
      </w:r>
      <w:bookmarkStart w:id="33" w:name="_GoBack"/>
      <w:bookmarkEnd w:id="33"/>
      <w:proofErr w:type="spellEnd"/>
    </w:p>
    <w:p w:rsidR="0079445E" w:rsidRPr="0079445E" w:rsidRDefault="0079445E" w:rsidP="0079445E">
      <w:pPr>
        <w:pStyle w:val="Heading2"/>
        <w:rPr>
          <w:rFonts w:ascii="Gill Sans MT" w:hAnsi="Gill Sans MT"/>
        </w:rPr>
      </w:pPr>
      <w:bookmarkStart w:id="34" w:name="_Toc511132156"/>
      <w:bookmarkStart w:id="35" w:name="_Toc511722719"/>
      <w:r w:rsidRPr="0079445E">
        <w:rPr>
          <w:rFonts w:ascii="Gill Sans MT" w:hAnsi="Gill Sans MT"/>
        </w:rPr>
        <w:t xml:space="preserve">Who can prescribe </w:t>
      </w:r>
      <w:proofErr w:type="spellStart"/>
      <w:r w:rsidRPr="0079445E">
        <w:rPr>
          <w:rFonts w:ascii="Gill Sans MT" w:hAnsi="Gill Sans MT"/>
        </w:rPr>
        <w:t>PrEP</w:t>
      </w:r>
      <w:proofErr w:type="spellEnd"/>
      <w:r w:rsidRPr="0079445E">
        <w:rPr>
          <w:rFonts w:ascii="Gill Sans MT" w:hAnsi="Gill Sans MT"/>
        </w:rPr>
        <w:t>?</w:t>
      </w:r>
      <w:bookmarkEnd w:id="34"/>
      <w:bookmarkEnd w:id="35"/>
    </w:p>
    <w:p w:rsidR="0079445E" w:rsidRDefault="0079445E" w:rsidP="0079445E">
      <w:pPr>
        <w:pStyle w:val="DHHSbody"/>
        <w:spacing w:after="140" w:line="300" w:lineRule="atLeast"/>
        <w:rPr>
          <w:szCs w:val="22"/>
        </w:rPr>
      </w:pP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has been listed as a general schedule s85 item on the PBS and can be prescribed by general practitioners and nurse practitioners.</w:t>
      </w:r>
      <w:r>
        <w:rPr>
          <w:rFonts w:ascii="Gill Sans MT" w:hAnsi="Gill Sans MT"/>
          <w:sz w:val="22"/>
          <w:szCs w:val="22"/>
        </w:rPr>
        <w:br w:type="page"/>
      </w:r>
    </w:p>
    <w:p w:rsidR="0079445E" w:rsidRPr="0079445E" w:rsidRDefault="0079445E" w:rsidP="0079445E">
      <w:pPr>
        <w:pStyle w:val="Heading2"/>
        <w:rPr>
          <w:rFonts w:ascii="Gill Sans MT" w:hAnsi="Gill Sans MT"/>
        </w:rPr>
      </w:pPr>
      <w:bookmarkStart w:id="36" w:name="_Toc511132157"/>
      <w:bookmarkStart w:id="37" w:name="_Toc511722720"/>
      <w:r w:rsidRPr="0079445E">
        <w:rPr>
          <w:rFonts w:ascii="Gill Sans MT" w:hAnsi="Gill Sans MT"/>
        </w:rPr>
        <w:lastRenderedPageBreak/>
        <w:t xml:space="preserve">Who is eligible for </w:t>
      </w:r>
      <w:proofErr w:type="spellStart"/>
      <w:r w:rsidRPr="0079445E">
        <w:rPr>
          <w:rFonts w:ascii="Gill Sans MT" w:hAnsi="Gill Sans MT"/>
        </w:rPr>
        <w:t>PrEP</w:t>
      </w:r>
      <w:proofErr w:type="spellEnd"/>
      <w:r w:rsidRPr="0079445E">
        <w:rPr>
          <w:rFonts w:ascii="Gill Sans MT" w:hAnsi="Gill Sans MT"/>
        </w:rPr>
        <w:t>?</w:t>
      </w:r>
      <w:bookmarkEnd w:id="36"/>
      <w:bookmarkEnd w:id="37"/>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People considered at medium to high risk of HIV are eligible for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This includes gay men and other men who have sex with men (MSM), people who inject drugs (PWID), </w:t>
      </w:r>
      <w:proofErr w:type="gramStart"/>
      <w:r w:rsidRPr="009A7A07">
        <w:rPr>
          <w:rFonts w:ascii="Gill Sans MT" w:hAnsi="Gill Sans MT"/>
          <w:sz w:val="22"/>
          <w:szCs w:val="22"/>
        </w:rPr>
        <w:t>trans</w:t>
      </w:r>
      <w:proofErr w:type="gramEnd"/>
      <w:r w:rsidRPr="009A7A07">
        <w:rPr>
          <w:rFonts w:ascii="Gill Sans MT" w:hAnsi="Gill Sans MT"/>
          <w:sz w:val="22"/>
          <w:szCs w:val="22"/>
        </w:rPr>
        <w:t xml:space="preserve"> and gender diverse people, and heterosexual men and women at greater risk of HIV. </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The eligibility and risk criteria are outlined in the clinical guidelines developed by the Australasian Society of HIV, Viral Hepatitis and Sexual Health Medicine (ASHM). It is recommended that prescribers review these criteria with their patients to determine if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is recommended for them. Prescribers should take a case-by-case approach and base any decision whether to recommend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on the personal circumstances of the patient. The guidelines are available at </w:t>
      </w:r>
      <w:hyperlink r:id="rId37" w:history="1">
        <w:r w:rsidRPr="00E025F6">
          <w:rPr>
            <w:rStyle w:val="Hyperlink"/>
            <w:rFonts w:ascii="Gill Sans MT" w:hAnsi="Gill Sans MT"/>
            <w:sz w:val="22"/>
            <w:szCs w:val="22"/>
          </w:rPr>
          <w:t>https://www.ashm.org.au/HIV/PrEP/</w:t>
        </w:r>
      </w:hyperlink>
      <w:r>
        <w:rPr>
          <w:rFonts w:ascii="Gill Sans MT" w:hAnsi="Gill Sans MT"/>
          <w:sz w:val="22"/>
          <w:szCs w:val="22"/>
        </w:rPr>
        <w:t xml:space="preserve"> </w:t>
      </w:r>
    </w:p>
    <w:p w:rsidR="0079445E"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Patients must hold a Medicare card to access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through the PBS. Some people from countries that have a reciprocal health care agreement with Australia may also be eligible for PBS medications. </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People ineligible for Medicare may still receive a prescription for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but must pay full price, or import it from overseas. Patients wanting to import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are encouraged to contact the Tasmanian Council on AIDs, Hepatitis and Related Diseases (</w:t>
      </w:r>
      <w:hyperlink r:id="rId38" w:history="1">
        <w:r w:rsidRPr="00E025F6">
          <w:rPr>
            <w:rStyle w:val="Hyperlink"/>
            <w:rFonts w:ascii="Gill Sans MT" w:hAnsi="Gill Sans MT"/>
            <w:sz w:val="22"/>
            <w:szCs w:val="22"/>
          </w:rPr>
          <w:t>www.tascahrd.org.au/</w:t>
        </w:r>
      </w:hyperlink>
      <w:r w:rsidRPr="009A7A07">
        <w:rPr>
          <w:rFonts w:ascii="Gill Sans MT" w:hAnsi="Gill Sans MT"/>
          <w:sz w:val="22"/>
          <w:szCs w:val="22"/>
        </w:rPr>
        <w:t xml:space="preserve">) or the community groups </w:t>
      </w:r>
      <w:proofErr w:type="spellStart"/>
      <w:r w:rsidRPr="009A7A07">
        <w:rPr>
          <w:rFonts w:ascii="Gill Sans MT" w:hAnsi="Gill Sans MT"/>
          <w:sz w:val="22"/>
          <w:szCs w:val="22"/>
        </w:rPr>
        <w:t>PrEPaccessNOW</w:t>
      </w:r>
      <w:proofErr w:type="spellEnd"/>
      <w:r w:rsidRPr="009A7A07">
        <w:rPr>
          <w:rFonts w:ascii="Gill Sans MT" w:hAnsi="Gill Sans MT"/>
          <w:sz w:val="22"/>
          <w:szCs w:val="22"/>
        </w:rPr>
        <w:t xml:space="preserve"> (</w:t>
      </w:r>
      <w:hyperlink r:id="rId39" w:history="1">
        <w:r w:rsidRPr="009A7A07">
          <w:rPr>
            <w:rStyle w:val="Hyperlink"/>
            <w:rFonts w:ascii="Gill Sans MT" w:hAnsi="Gill Sans MT"/>
            <w:sz w:val="22"/>
            <w:szCs w:val="22"/>
          </w:rPr>
          <w:t>www.pan.org.au</w:t>
        </w:r>
      </w:hyperlink>
      <w:r w:rsidRPr="009A7A07">
        <w:rPr>
          <w:rFonts w:ascii="Gill Sans MT" w:hAnsi="Gill Sans MT"/>
          <w:sz w:val="22"/>
          <w:szCs w:val="22"/>
        </w:rPr>
        <w:t xml:space="preserve">) or </w:t>
      </w:r>
      <w:proofErr w:type="spellStart"/>
      <w:r w:rsidRPr="009A7A07">
        <w:rPr>
          <w:rFonts w:ascii="Gill Sans MT" w:hAnsi="Gill Sans MT"/>
          <w:sz w:val="22"/>
          <w:szCs w:val="22"/>
        </w:rPr>
        <w:t>PrEP’d</w:t>
      </w:r>
      <w:proofErr w:type="spellEnd"/>
      <w:r w:rsidRPr="009A7A07">
        <w:rPr>
          <w:rFonts w:ascii="Gill Sans MT" w:hAnsi="Gill Sans MT"/>
          <w:sz w:val="22"/>
          <w:szCs w:val="22"/>
        </w:rPr>
        <w:t xml:space="preserve"> for Change (</w:t>
      </w:r>
      <w:hyperlink r:id="rId40" w:history="1">
        <w:r w:rsidRPr="009A7A07">
          <w:rPr>
            <w:rStyle w:val="Hyperlink"/>
            <w:rFonts w:ascii="Gill Sans MT" w:hAnsi="Gill Sans MT"/>
            <w:sz w:val="22"/>
            <w:szCs w:val="22"/>
          </w:rPr>
          <w:t>www.prepdforchange.com</w:t>
        </w:r>
      </w:hyperlink>
      <w:r w:rsidRPr="009A7A07">
        <w:rPr>
          <w:rFonts w:ascii="Gill Sans MT" w:hAnsi="Gill Sans MT"/>
          <w:sz w:val="22"/>
          <w:szCs w:val="22"/>
        </w:rPr>
        <w:t>) for more information about personal importation.</w:t>
      </w:r>
    </w:p>
    <w:p w:rsidR="0079445E" w:rsidRPr="0079445E" w:rsidRDefault="0079445E" w:rsidP="0079445E">
      <w:pPr>
        <w:pStyle w:val="Heading2"/>
        <w:rPr>
          <w:rFonts w:ascii="Gill Sans MT" w:hAnsi="Gill Sans MT"/>
        </w:rPr>
      </w:pPr>
      <w:bookmarkStart w:id="38" w:name="_Toc511132158"/>
      <w:bookmarkStart w:id="39" w:name="_Toc511722721"/>
      <w:r w:rsidRPr="0079445E">
        <w:rPr>
          <w:rFonts w:ascii="Gill Sans MT" w:hAnsi="Gill Sans MT"/>
        </w:rPr>
        <w:t xml:space="preserve">Are there any side effects to </w:t>
      </w:r>
      <w:proofErr w:type="spellStart"/>
      <w:r w:rsidRPr="0079445E">
        <w:rPr>
          <w:rFonts w:ascii="Gill Sans MT" w:hAnsi="Gill Sans MT"/>
        </w:rPr>
        <w:t>PrEP</w:t>
      </w:r>
      <w:proofErr w:type="spellEnd"/>
      <w:r w:rsidRPr="0079445E">
        <w:rPr>
          <w:rFonts w:ascii="Gill Sans MT" w:hAnsi="Gill Sans MT"/>
        </w:rPr>
        <w:t>?</w:t>
      </w:r>
      <w:bookmarkEnd w:id="38"/>
      <w:bookmarkEnd w:id="39"/>
    </w:p>
    <w:p w:rsidR="0079445E" w:rsidRPr="009A7A07" w:rsidRDefault="0079445E" w:rsidP="0079445E">
      <w:pPr>
        <w:pStyle w:val="DHHSbody"/>
        <w:spacing w:after="140" w:line="300" w:lineRule="atLeast"/>
        <w:rPr>
          <w:rFonts w:ascii="Gill Sans MT" w:hAnsi="Gill Sans MT"/>
          <w:sz w:val="22"/>
          <w:szCs w:val="22"/>
        </w:rPr>
      </w:pPr>
      <w:proofErr w:type="spellStart"/>
      <w:r w:rsidRPr="009A7A07">
        <w:rPr>
          <w:rFonts w:ascii="Gill Sans MT" w:hAnsi="Gill Sans MT"/>
          <w:sz w:val="22"/>
          <w:szCs w:val="22"/>
        </w:rPr>
        <w:t>Tenofovir</w:t>
      </w:r>
      <w:proofErr w:type="spellEnd"/>
      <w:r w:rsidRPr="009A7A07">
        <w:rPr>
          <w:rFonts w:ascii="Gill Sans MT" w:hAnsi="Gill Sans MT"/>
          <w:sz w:val="22"/>
          <w:szCs w:val="22"/>
        </w:rPr>
        <w:t>/</w:t>
      </w:r>
      <w:proofErr w:type="spellStart"/>
      <w:r w:rsidRPr="009A7A07">
        <w:rPr>
          <w:rFonts w:ascii="Gill Sans MT" w:hAnsi="Gill Sans MT"/>
          <w:sz w:val="22"/>
          <w:szCs w:val="22"/>
        </w:rPr>
        <w:t>emtricitabine</w:t>
      </w:r>
      <w:proofErr w:type="spellEnd"/>
      <w:r w:rsidRPr="009A7A07">
        <w:rPr>
          <w:rFonts w:ascii="Gill Sans MT" w:hAnsi="Gill Sans MT"/>
          <w:sz w:val="22"/>
          <w:szCs w:val="22"/>
        </w:rPr>
        <w:t xml:space="preserve">, the drug used as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has very few side effects, and very few people ever experience them. For those who do experience them, the side effects usually clear up within a few weeks of starting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Common side effects included headache, nausea, weight loss, and depression. </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In a small proportion of people, </w:t>
      </w:r>
      <w:proofErr w:type="spellStart"/>
      <w:r w:rsidRPr="009A7A07">
        <w:rPr>
          <w:rFonts w:ascii="Gill Sans MT" w:hAnsi="Gill Sans MT"/>
          <w:sz w:val="22"/>
          <w:szCs w:val="22"/>
        </w:rPr>
        <w:t>tenofovir</w:t>
      </w:r>
      <w:proofErr w:type="spellEnd"/>
      <w:r w:rsidRPr="009A7A07">
        <w:rPr>
          <w:rFonts w:ascii="Gill Sans MT" w:hAnsi="Gill Sans MT"/>
          <w:sz w:val="22"/>
          <w:szCs w:val="22"/>
        </w:rPr>
        <w:t>/</w:t>
      </w:r>
      <w:proofErr w:type="spellStart"/>
      <w:r w:rsidRPr="009A7A07">
        <w:rPr>
          <w:rFonts w:ascii="Gill Sans MT" w:hAnsi="Gill Sans MT"/>
          <w:sz w:val="22"/>
          <w:szCs w:val="22"/>
        </w:rPr>
        <w:t>emtricitabine</w:t>
      </w:r>
      <w:proofErr w:type="spellEnd"/>
      <w:r w:rsidRPr="009A7A07">
        <w:rPr>
          <w:rFonts w:ascii="Gill Sans MT" w:hAnsi="Gill Sans MT"/>
          <w:sz w:val="22"/>
          <w:szCs w:val="22"/>
        </w:rPr>
        <w:t xml:space="preserve"> may lead to a loss of bone mineral density, or a decrease in kidney function. Doctors should assess kidney function at baseline, and ask their patient about any history of osteopenia or osteoporosis before prescribing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w:t>
      </w:r>
    </w:p>
    <w:p w:rsidR="0079445E" w:rsidRPr="0079445E" w:rsidRDefault="0079445E" w:rsidP="0079445E">
      <w:pPr>
        <w:pStyle w:val="Heading2"/>
        <w:rPr>
          <w:rFonts w:ascii="Gill Sans MT" w:hAnsi="Gill Sans MT"/>
        </w:rPr>
      </w:pPr>
      <w:bookmarkStart w:id="40" w:name="_Toc511132159"/>
      <w:bookmarkStart w:id="41" w:name="_Toc511722722"/>
      <w:r w:rsidRPr="0079445E">
        <w:rPr>
          <w:rFonts w:ascii="Gill Sans MT" w:hAnsi="Gill Sans MT"/>
        </w:rPr>
        <w:t xml:space="preserve">How much does </w:t>
      </w:r>
      <w:proofErr w:type="spellStart"/>
      <w:r w:rsidRPr="0079445E">
        <w:rPr>
          <w:rFonts w:ascii="Gill Sans MT" w:hAnsi="Gill Sans MT"/>
        </w:rPr>
        <w:t>PrEP</w:t>
      </w:r>
      <w:proofErr w:type="spellEnd"/>
      <w:r w:rsidRPr="0079445E">
        <w:rPr>
          <w:rFonts w:ascii="Gill Sans MT" w:hAnsi="Gill Sans MT"/>
        </w:rPr>
        <w:t xml:space="preserve"> cost?</w:t>
      </w:r>
      <w:bookmarkEnd w:id="40"/>
      <w:bookmarkEnd w:id="41"/>
    </w:p>
    <w:p w:rsidR="0079445E" w:rsidRPr="009A7A07" w:rsidRDefault="0079445E" w:rsidP="00EB102A">
      <w:pPr>
        <w:pStyle w:val="DHHSbody"/>
        <w:spacing w:after="140" w:line="300" w:lineRule="atLeast"/>
        <w:ind w:right="-188"/>
        <w:rPr>
          <w:rFonts w:ascii="Gill Sans MT" w:hAnsi="Gill Sans MT"/>
          <w:sz w:val="22"/>
          <w:szCs w:val="22"/>
        </w:rPr>
      </w:pP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patients are responsible for a co-payment of up to $39.50 ($6.40 concession) per 30 day supply.</w:t>
      </w:r>
      <w:r w:rsidR="00EB102A">
        <w:rPr>
          <w:rFonts w:ascii="Gill Sans MT" w:hAnsi="Gill Sans MT"/>
          <w:sz w:val="22"/>
          <w:szCs w:val="22"/>
        </w:rPr>
        <w:t xml:space="preserve"> </w:t>
      </w:r>
      <w:r w:rsidRPr="009A7A07">
        <w:rPr>
          <w:rFonts w:ascii="Gill Sans MT" w:hAnsi="Gill Sans MT"/>
          <w:sz w:val="22"/>
          <w:szCs w:val="22"/>
        </w:rPr>
        <w:t xml:space="preserve">People ineligible for subsided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through the PBS must pay full price for the drug, currently up to $800 per 30 day supply. Alternately, they may access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from overseas through the personal importation scheme. Costs vary from approximately $30</w:t>
      </w:r>
      <w:r>
        <w:rPr>
          <w:rFonts w:ascii="Gill Sans MT" w:hAnsi="Gill Sans MT"/>
          <w:sz w:val="22"/>
          <w:szCs w:val="22"/>
        </w:rPr>
        <w:t>-</w:t>
      </w:r>
      <w:r w:rsidRPr="009A7A07">
        <w:rPr>
          <w:rFonts w:ascii="Gill Sans MT" w:hAnsi="Gill Sans MT"/>
          <w:sz w:val="22"/>
          <w:szCs w:val="22"/>
        </w:rPr>
        <w:t xml:space="preserve">$100 per 30 day supply, including delivery. </w:t>
      </w:r>
    </w:p>
    <w:p w:rsidR="0079445E" w:rsidRPr="0079445E" w:rsidRDefault="0079445E" w:rsidP="0079445E">
      <w:pPr>
        <w:pStyle w:val="Heading2"/>
        <w:rPr>
          <w:rFonts w:ascii="Gill Sans MT" w:hAnsi="Gill Sans MT"/>
        </w:rPr>
      </w:pPr>
      <w:bookmarkStart w:id="42" w:name="_Toc511132160"/>
      <w:bookmarkStart w:id="43" w:name="_Toc511722723"/>
      <w:r w:rsidRPr="0079445E">
        <w:rPr>
          <w:rFonts w:ascii="Gill Sans MT" w:hAnsi="Gill Sans MT"/>
        </w:rPr>
        <w:t>Who can I contact if I want more information?</w:t>
      </w:r>
      <w:bookmarkEnd w:id="42"/>
      <w:bookmarkEnd w:id="43"/>
    </w:p>
    <w:p w:rsidR="0079445E" w:rsidRPr="009A7A07" w:rsidRDefault="0079445E" w:rsidP="0079445E">
      <w:pPr>
        <w:pStyle w:val="DHHSbody"/>
        <w:spacing w:after="140" w:line="300" w:lineRule="atLeast"/>
        <w:rPr>
          <w:rFonts w:ascii="Gill Sans MT" w:hAnsi="Gill Sans MT"/>
          <w:sz w:val="22"/>
          <w:szCs w:val="22"/>
        </w:rPr>
      </w:pPr>
      <w:bookmarkStart w:id="44" w:name="_Toc440566508"/>
      <w:r w:rsidRPr="009A7A07">
        <w:rPr>
          <w:rFonts w:ascii="Gill Sans MT" w:hAnsi="Gill Sans MT"/>
          <w:sz w:val="22"/>
          <w:szCs w:val="22"/>
        </w:rPr>
        <w:t xml:space="preserve">For immediate questions about prescribing </w:t>
      </w:r>
      <w:proofErr w:type="spellStart"/>
      <w:r w:rsidRPr="009A7A07">
        <w:rPr>
          <w:rFonts w:ascii="Gill Sans MT" w:hAnsi="Gill Sans MT"/>
          <w:sz w:val="22"/>
          <w:szCs w:val="22"/>
        </w:rPr>
        <w:t>PrEP</w:t>
      </w:r>
      <w:proofErr w:type="spellEnd"/>
      <w:r w:rsidRPr="009A7A07">
        <w:rPr>
          <w:rFonts w:ascii="Gill Sans MT" w:hAnsi="Gill Sans MT"/>
          <w:sz w:val="22"/>
          <w:szCs w:val="22"/>
        </w:rPr>
        <w:t>, c</w:t>
      </w:r>
      <w:r>
        <w:rPr>
          <w:rFonts w:ascii="Gill Sans MT" w:hAnsi="Gill Sans MT"/>
          <w:sz w:val="22"/>
          <w:szCs w:val="22"/>
        </w:rPr>
        <w:t>all</w:t>
      </w:r>
      <w:r w:rsidRPr="009A7A07">
        <w:rPr>
          <w:rFonts w:ascii="Gill Sans MT" w:hAnsi="Gill Sans MT"/>
          <w:sz w:val="22"/>
          <w:szCs w:val="22"/>
        </w:rPr>
        <w:t xml:space="preserve"> Dr Louise Owen or </w:t>
      </w:r>
      <w:r>
        <w:rPr>
          <w:rFonts w:ascii="Gill Sans MT" w:hAnsi="Gill Sans MT"/>
          <w:sz w:val="22"/>
          <w:szCs w:val="22"/>
        </w:rPr>
        <w:t>a</w:t>
      </w:r>
      <w:r w:rsidRPr="009A7A07">
        <w:rPr>
          <w:rFonts w:ascii="Gill Sans MT" w:hAnsi="Gill Sans MT"/>
          <w:sz w:val="22"/>
          <w:szCs w:val="22"/>
        </w:rPr>
        <w:t xml:space="preserve"> clinician at the Tasmanian Sexual Health Service – Clinic 60 Hobart </w:t>
      </w:r>
      <w:r>
        <w:rPr>
          <w:rFonts w:ascii="Gill Sans MT" w:hAnsi="Gill Sans MT"/>
          <w:sz w:val="22"/>
          <w:szCs w:val="22"/>
        </w:rPr>
        <w:t>on</w:t>
      </w:r>
      <w:r w:rsidRPr="009A7A07">
        <w:rPr>
          <w:rFonts w:ascii="Gill Sans MT" w:hAnsi="Gill Sans MT"/>
          <w:sz w:val="22"/>
          <w:szCs w:val="22"/>
        </w:rPr>
        <w:t xml:space="preserve"> (03) 6166</w:t>
      </w:r>
      <w:r>
        <w:rPr>
          <w:rFonts w:ascii="Gill Sans MT" w:hAnsi="Gill Sans MT"/>
          <w:sz w:val="22"/>
          <w:szCs w:val="22"/>
        </w:rPr>
        <w:t xml:space="preserve"> </w:t>
      </w:r>
      <w:r w:rsidRPr="009A7A07">
        <w:rPr>
          <w:rFonts w:ascii="Gill Sans MT" w:hAnsi="Gill Sans MT"/>
          <w:sz w:val="22"/>
          <w:szCs w:val="22"/>
        </w:rPr>
        <w:t>2672 or Clinic 34 in Launceston (03)</w:t>
      </w:r>
      <w:r>
        <w:rPr>
          <w:rFonts w:ascii="Gill Sans MT" w:hAnsi="Gill Sans MT"/>
          <w:sz w:val="22"/>
          <w:szCs w:val="22"/>
        </w:rPr>
        <w:t xml:space="preserve"> </w:t>
      </w:r>
      <w:r w:rsidRPr="009A7A07">
        <w:rPr>
          <w:rFonts w:ascii="Gill Sans MT" w:hAnsi="Gill Sans MT"/>
          <w:sz w:val="22"/>
          <w:szCs w:val="22"/>
        </w:rPr>
        <w:t>6777</w:t>
      </w:r>
      <w:r>
        <w:rPr>
          <w:rFonts w:ascii="Gill Sans MT" w:hAnsi="Gill Sans MT"/>
          <w:sz w:val="22"/>
          <w:szCs w:val="22"/>
        </w:rPr>
        <w:t> </w:t>
      </w:r>
      <w:r w:rsidRPr="009A7A07">
        <w:rPr>
          <w:rFonts w:ascii="Gill Sans MT" w:hAnsi="Gill Sans MT"/>
          <w:sz w:val="22"/>
          <w:szCs w:val="22"/>
        </w:rPr>
        <w:t>1371</w:t>
      </w:r>
      <w:r>
        <w:rPr>
          <w:rFonts w:ascii="Gill Sans MT" w:hAnsi="Gill Sans MT"/>
          <w:sz w:val="22"/>
          <w:szCs w:val="22"/>
        </w:rPr>
        <w:t>.</w:t>
      </w:r>
    </w:p>
    <w:p w:rsidR="0079445E" w:rsidRPr="009A7A07" w:rsidRDefault="0079445E" w:rsidP="0079445E">
      <w:pPr>
        <w:pStyle w:val="DHHSbody"/>
        <w:spacing w:after="140" w:line="300" w:lineRule="atLeast"/>
        <w:rPr>
          <w:rFonts w:ascii="Gill Sans MT" w:hAnsi="Gill Sans MT"/>
          <w:sz w:val="22"/>
          <w:szCs w:val="22"/>
        </w:rPr>
      </w:pPr>
      <w:r w:rsidRPr="009A7A07">
        <w:rPr>
          <w:rFonts w:ascii="Gill Sans MT" w:hAnsi="Gill Sans MT"/>
          <w:sz w:val="22"/>
          <w:szCs w:val="22"/>
        </w:rPr>
        <w:t xml:space="preserve">Information on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including the ASHM Guidelines, are available on the ASHM website at </w:t>
      </w:r>
      <w:hyperlink r:id="rId41" w:history="1">
        <w:r w:rsidR="00465820" w:rsidRPr="00E12516">
          <w:rPr>
            <w:rStyle w:val="Hyperlink"/>
            <w:rFonts w:ascii="Gill Sans MT" w:hAnsi="Gill Sans MT"/>
            <w:sz w:val="22"/>
            <w:szCs w:val="22"/>
          </w:rPr>
          <w:t>www.ashm.org.au/HIV/PrEP/</w:t>
        </w:r>
      </w:hyperlink>
      <w:r>
        <w:rPr>
          <w:rFonts w:ascii="Gill Sans MT" w:hAnsi="Gill Sans MT"/>
          <w:sz w:val="22"/>
          <w:szCs w:val="22"/>
        </w:rPr>
        <w:t xml:space="preserve"> </w:t>
      </w:r>
      <w:bookmarkEnd w:id="44"/>
      <w:r w:rsidRPr="009A7A07">
        <w:rPr>
          <w:rFonts w:ascii="Gill Sans MT" w:hAnsi="Gill Sans MT"/>
          <w:sz w:val="22"/>
          <w:szCs w:val="22"/>
        </w:rPr>
        <w:t xml:space="preserve">The </w:t>
      </w:r>
      <w:r w:rsidRPr="009A7A07">
        <w:rPr>
          <w:rFonts w:ascii="Gill Sans MT" w:hAnsi="Gill Sans MT"/>
          <w:i/>
          <w:sz w:val="22"/>
          <w:szCs w:val="22"/>
        </w:rPr>
        <w:t>Tasmanian guidance on pre-exposure prophylaxis (</w:t>
      </w:r>
      <w:proofErr w:type="spellStart"/>
      <w:r w:rsidRPr="009A7A07">
        <w:rPr>
          <w:rFonts w:ascii="Gill Sans MT" w:hAnsi="Gill Sans MT"/>
          <w:i/>
          <w:sz w:val="22"/>
          <w:szCs w:val="22"/>
        </w:rPr>
        <w:t>PrEP</w:t>
      </w:r>
      <w:proofErr w:type="spellEnd"/>
      <w:r w:rsidRPr="009A7A07">
        <w:rPr>
          <w:rFonts w:ascii="Gill Sans MT" w:hAnsi="Gill Sans MT"/>
          <w:i/>
          <w:sz w:val="22"/>
          <w:szCs w:val="22"/>
        </w:rPr>
        <w:t>)</w:t>
      </w:r>
      <w:r w:rsidRPr="009A7A07">
        <w:rPr>
          <w:rFonts w:ascii="Gill Sans MT" w:hAnsi="Gill Sans MT"/>
          <w:sz w:val="22"/>
          <w:szCs w:val="22"/>
        </w:rPr>
        <w:t xml:space="preserve"> can be found on the Department of Health and </w:t>
      </w:r>
      <w:r w:rsidR="003D64A9">
        <w:rPr>
          <w:rFonts w:ascii="Gill Sans MT" w:hAnsi="Gill Sans MT"/>
          <w:sz w:val="22"/>
          <w:szCs w:val="22"/>
        </w:rPr>
        <w:t>Human Services website at</w:t>
      </w:r>
      <w:r>
        <w:rPr>
          <w:rFonts w:ascii="Gill Sans MT" w:hAnsi="Gill Sans MT"/>
          <w:sz w:val="22"/>
          <w:szCs w:val="22"/>
        </w:rPr>
        <w:t xml:space="preserve"> </w:t>
      </w:r>
      <w:hyperlink r:id="rId42" w:history="1">
        <w:r w:rsidR="00C96ED9" w:rsidRPr="00922EAB">
          <w:rPr>
            <w:rStyle w:val="Hyperlink"/>
            <w:rFonts w:ascii="Gill Sans MT" w:hAnsi="Gill Sans MT"/>
            <w:sz w:val="22"/>
            <w:szCs w:val="22"/>
          </w:rPr>
          <w:t>www.dhhs.tas.gov.au/publichealth/communicable_diseases_prevention_unit/infectious_diseases/hiv/</w:t>
        </w:r>
      </w:hyperlink>
      <w:r w:rsidR="00C96ED9">
        <w:rPr>
          <w:rFonts w:ascii="Gill Sans MT" w:hAnsi="Gill Sans MT"/>
          <w:sz w:val="22"/>
          <w:szCs w:val="22"/>
        </w:rPr>
        <w:t xml:space="preserve"> </w:t>
      </w:r>
    </w:p>
    <w:p w:rsidR="00EB102A" w:rsidRDefault="0079445E" w:rsidP="0079445E">
      <w:pPr>
        <w:pStyle w:val="DHHSbody"/>
        <w:spacing w:after="140" w:line="300" w:lineRule="atLeast"/>
        <w:rPr>
          <w:rFonts w:ascii="Gill Sans MT" w:hAnsi="Gill Sans MT"/>
          <w:highlight w:val="yellow"/>
        </w:rPr>
      </w:pPr>
      <w:r w:rsidRPr="009A7A07">
        <w:rPr>
          <w:rFonts w:ascii="Gill Sans MT" w:hAnsi="Gill Sans MT"/>
          <w:sz w:val="22"/>
          <w:szCs w:val="22"/>
        </w:rPr>
        <w:t>Tasmanian Council on AIDs, Hepatitis and Related Diseases (</w:t>
      </w:r>
      <w:hyperlink r:id="rId43" w:history="1">
        <w:r w:rsidRPr="00E025F6">
          <w:rPr>
            <w:rStyle w:val="Hyperlink"/>
            <w:rFonts w:ascii="Gill Sans MT" w:hAnsi="Gill Sans MT"/>
            <w:sz w:val="22"/>
            <w:szCs w:val="22"/>
          </w:rPr>
          <w:t>www.tascahrd.org.au/</w:t>
        </w:r>
      </w:hyperlink>
      <w:r w:rsidRPr="009A7A07">
        <w:rPr>
          <w:rFonts w:ascii="Gill Sans MT" w:hAnsi="Gill Sans MT"/>
          <w:sz w:val="22"/>
          <w:szCs w:val="22"/>
        </w:rPr>
        <w:t xml:space="preserve">) can provide information on </w:t>
      </w:r>
      <w:proofErr w:type="spellStart"/>
      <w:r w:rsidRPr="009A7A07">
        <w:rPr>
          <w:rFonts w:ascii="Gill Sans MT" w:hAnsi="Gill Sans MT"/>
          <w:sz w:val="22"/>
          <w:szCs w:val="22"/>
        </w:rPr>
        <w:t>PrEP</w:t>
      </w:r>
      <w:proofErr w:type="spellEnd"/>
      <w:r w:rsidRPr="009A7A07">
        <w:rPr>
          <w:rFonts w:ascii="Gill Sans MT" w:hAnsi="Gill Sans MT"/>
          <w:sz w:val="22"/>
          <w:szCs w:val="22"/>
        </w:rPr>
        <w:t xml:space="preserve"> to patients.</w:t>
      </w:r>
      <w:r w:rsidRPr="00B55D7F">
        <w:rPr>
          <w:rFonts w:ascii="Gill Sans MT" w:hAnsi="Gill Sans MT"/>
          <w:highlight w:val="yellow"/>
        </w:rPr>
        <w:t xml:space="preserve"> </w:t>
      </w:r>
    </w:p>
    <w:p w:rsidR="00180CEE" w:rsidRPr="00180CEE" w:rsidRDefault="0079445E" w:rsidP="00EB102A">
      <w:pPr>
        <w:pStyle w:val="DHHSbody"/>
        <w:spacing w:after="140" w:line="300" w:lineRule="atLeast"/>
        <w:rPr>
          <w:rFonts w:cs="Arial"/>
          <w:b/>
          <w:bCs/>
          <w:color w:val="004EA8"/>
          <w:sz w:val="18"/>
          <w:szCs w:val="18"/>
        </w:rPr>
      </w:pPr>
      <w:r w:rsidRPr="00EB102A">
        <w:rPr>
          <w:rFonts w:ascii="Gill Sans MT" w:hAnsi="Gill Sans MT"/>
        </w:rPr>
        <w:lastRenderedPageBreak/>
        <w:t>The Department of Health and Human Services acknowledges the State of Victoria, Department of Health and Human Services</w:t>
      </w:r>
      <w:r w:rsidRPr="00EB102A">
        <w:rPr>
          <w:rFonts w:ascii="Gill Sans MT" w:hAnsi="Gill Sans MT"/>
          <w:color w:val="008950"/>
        </w:rPr>
        <w:t xml:space="preserve"> </w:t>
      </w:r>
      <w:r w:rsidRPr="00EB102A">
        <w:rPr>
          <w:rFonts w:ascii="Gill Sans MT" w:hAnsi="Gill Sans MT"/>
        </w:rPr>
        <w:t>in the preparation of this fact sheet.</w:t>
      </w:r>
      <w:r w:rsidR="00EB102A">
        <w:rPr>
          <w:rFonts w:ascii="Gill Sans MT" w:hAnsi="Gill Sans MT"/>
        </w:rPr>
        <w:t xml:space="preserve"> </w:t>
      </w:r>
      <w:r w:rsidR="00EB102A">
        <w:rPr>
          <w:rFonts w:ascii="Gill Sans MT" w:hAnsi="Gill Sans MT"/>
        </w:rPr>
        <w:tab/>
      </w:r>
      <w:r w:rsidR="00EB102A">
        <w:rPr>
          <w:rFonts w:ascii="Gill Sans MT" w:hAnsi="Gill Sans MT"/>
        </w:rPr>
        <w:tab/>
      </w:r>
      <w:r w:rsidR="00EB102A">
        <w:rPr>
          <w:rFonts w:ascii="Gill Sans MT" w:hAnsi="Gill Sans MT"/>
        </w:rPr>
        <w:tab/>
      </w:r>
      <w:r w:rsidR="00EB102A">
        <w:rPr>
          <w:rFonts w:ascii="Gill Sans MT" w:hAnsi="Gill Sans MT"/>
        </w:rPr>
        <w:tab/>
      </w:r>
      <w:r w:rsidRPr="00F92AF9">
        <w:rPr>
          <w:rFonts w:ascii="Gill Sans MT" w:hAnsi="Gill Sans MT"/>
          <w:i/>
          <w:sz w:val="18"/>
          <w:szCs w:val="18"/>
        </w:rPr>
        <w:t>April 2018</w:t>
      </w:r>
      <w:r w:rsidR="00180CEE" w:rsidRPr="00180CEE">
        <w:rPr>
          <w:rFonts w:cs="Arial"/>
          <w:b/>
          <w:sz w:val="18"/>
          <w:szCs w:val="18"/>
        </w:rPr>
        <w:br w:type="page"/>
      </w:r>
    </w:p>
    <w:p w:rsidR="00180CEE" w:rsidRPr="00180CEE" w:rsidRDefault="00180CEE" w:rsidP="00180CEE">
      <w:pPr>
        <w:pStyle w:val="Heading1"/>
        <w:spacing w:before="0" w:after="140" w:line="300" w:lineRule="atLeast"/>
        <w:rPr>
          <w:rFonts w:ascii="Gill Sans MT" w:hAnsi="Gill Sans MT"/>
        </w:rPr>
      </w:pPr>
      <w:bookmarkStart w:id="45" w:name="_Toc511722724"/>
      <w:r w:rsidRPr="00180CEE">
        <w:rPr>
          <w:rFonts w:ascii="Gill Sans MT" w:hAnsi="Gill Sans MT" w:cs="Arial"/>
        </w:rPr>
        <w:lastRenderedPageBreak/>
        <w:t>References</w:t>
      </w:r>
      <w:bookmarkEnd w:id="45"/>
    </w:p>
    <w:sectPr w:rsidR="00180CEE" w:rsidRPr="00180CEE" w:rsidSect="00EB102A">
      <w:headerReference w:type="default" r:id="rId4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B39" w:rsidRDefault="00635B39" w:rsidP="00590171">
      <w:pPr>
        <w:spacing w:after="336" w:line="240" w:lineRule="auto"/>
      </w:pPr>
      <w:r>
        <w:separator/>
      </w:r>
    </w:p>
  </w:endnote>
  <w:endnote w:type="continuationSeparator" w:id="0">
    <w:p w:rsidR="00635B39" w:rsidRDefault="00635B39" w:rsidP="00590171">
      <w:pPr>
        <w:spacing w:after="336" w:line="240" w:lineRule="auto"/>
      </w:pPr>
      <w:r>
        <w:continuationSeparator/>
      </w:r>
    </w:p>
  </w:endnote>
  <w:endnote w:id="1">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Australasian Society for HIV, Viral Hepatitis and Sexual Health Medicine, 2017, </w:t>
      </w:r>
      <w:r w:rsidRPr="00CB79C2">
        <w:rPr>
          <w:rFonts w:ascii="Gill Sans MT" w:hAnsi="Gill Sans MT" w:cs="Arial"/>
          <w:i/>
          <w:sz w:val="22"/>
          <w:szCs w:val="22"/>
        </w:rPr>
        <w:t>HIV pre-exposure prophylaxis: clinical guidelines</w:t>
      </w:r>
      <w:r w:rsidRPr="00CB79C2">
        <w:rPr>
          <w:rFonts w:ascii="Gill Sans MT" w:hAnsi="Gill Sans MT" w:cs="Arial"/>
          <w:sz w:val="22"/>
          <w:szCs w:val="22"/>
        </w:rPr>
        <w:t>, Sydney. Available from</w:t>
      </w:r>
      <w:r w:rsidRPr="00CB79C2">
        <w:rPr>
          <w:rFonts w:ascii="Gill Sans MT" w:hAnsi="Gill Sans MT" w:cs="Arial"/>
          <w:sz w:val="22"/>
          <w:szCs w:val="22"/>
          <w:u w:val="dotted"/>
        </w:rPr>
        <w:t xml:space="preserve"> </w:t>
      </w:r>
      <w:hyperlink r:id="rId1" w:history="1">
        <w:r w:rsidRPr="00CB79C2">
          <w:rPr>
            <w:rStyle w:val="Hyperlink"/>
            <w:rFonts w:ascii="Gill Sans MT" w:hAnsi="Gill Sans MT"/>
            <w:sz w:val="22"/>
            <w:szCs w:val="22"/>
          </w:rPr>
          <w:t>http://viruseradication.com/journal-details/Australasian_Society_for_HIV,_Viral_Hepatitis_and_Sexual_Health_Medicine_HIV_pre-exposure_prophylaxis:_clinical_guidelines/</w:t>
        </w:r>
      </w:hyperlink>
    </w:p>
  </w:endnote>
  <w:endnote w:id="2">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STIs in Gay Men Action Group</w:t>
      </w:r>
      <w:r w:rsidRPr="00CB79C2">
        <w:rPr>
          <w:rFonts w:ascii="Gill Sans MT" w:hAnsi="Gill Sans MT" w:cs="Arial"/>
          <w:iCs/>
          <w:sz w:val="22"/>
          <w:szCs w:val="22"/>
        </w:rPr>
        <w:t xml:space="preserve">, NSW STI Programs Unit, 2014, </w:t>
      </w:r>
      <w:r w:rsidRPr="00CB79C2">
        <w:rPr>
          <w:rFonts w:ascii="Gill Sans MT" w:hAnsi="Gill Sans MT" w:cs="Arial"/>
          <w:i/>
          <w:iCs/>
          <w:sz w:val="22"/>
          <w:szCs w:val="22"/>
        </w:rPr>
        <w:t xml:space="preserve">Australian Sexually Transmitted Infection &amp; HIV Testing Guidelines 2014 for Asymptomatic Men Who Have Sex with Men, </w:t>
      </w:r>
      <w:r w:rsidRPr="00CB79C2">
        <w:rPr>
          <w:rFonts w:ascii="Gill Sans MT" w:hAnsi="Gill Sans MT" w:cs="Arial"/>
          <w:iCs/>
          <w:sz w:val="22"/>
          <w:szCs w:val="22"/>
        </w:rPr>
        <w:t xml:space="preserve">New South Wales Government, </w:t>
      </w:r>
      <w:proofErr w:type="gramStart"/>
      <w:r w:rsidRPr="00CB79C2">
        <w:rPr>
          <w:rFonts w:ascii="Gill Sans MT" w:hAnsi="Gill Sans MT" w:cs="Arial"/>
          <w:iCs/>
          <w:sz w:val="22"/>
          <w:szCs w:val="22"/>
        </w:rPr>
        <w:t>Sydney</w:t>
      </w:r>
      <w:proofErr w:type="gramEnd"/>
      <w:r w:rsidRPr="00CB79C2">
        <w:rPr>
          <w:rFonts w:ascii="Gill Sans MT" w:hAnsi="Gill Sans MT" w:cs="Arial"/>
          <w:i/>
          <w:iCs/>
          <w:sz w:val="22"/>
          <w:szCs w:val="22"/>
        </w:rPr>
        <w:t xml:space="preserve">. </w:t>
      </w:r>
      <w:r w:rsidRPr="00CB79C2">
        <w:rPr>
          <w:rFonts w:ascii="Gill Sans MT" w:hAnsi="Gill Sans MT" w:cs="Arial"/>
          <w:iCs/>
          <w:sz w:val="22"/>
          <w:szCs w:val="22"/>
        </w:rPr>
        <w:t xml:space="preserve">Available from </w:t>
      </w:r>
      <w:hyperlink r:id="rId2" w:history="1">
        <w:r w:rsidRPr="00CB79C2">
          <w:rPr>
            <w:rStyle w:val="Hyperlink"/>
            <w:rFonts w:ascii="Gill Sans MT" w:hAnsi="Gill Sans MT" w:cs="Arial"/>
            <w:sz w:val="22"/>
            <w:szCs w:val="22"/>
          </w:rPr>
          <w:t>https://stipu.nsw.gov.au/stigma/stihiv-testing-guidelines-for-msm/</w:t>
        </w:r>
      </w:hyperlink>
    </w:p>
  </w:endnote>
  <w:endnote w:id="3">
    <w:p w:rsidR="00F2210D" w:rsidRPr="00CB79C2" w:rsidRDefault="00F2210D" w:rsidP="00CB79C2">
      <w:pPr>
        <w:pStyle w:val="EndnoteText"/>
        <w:spacing w:after="140" w:line="300" w:lineRule="atLeast"/>
        <w:rPr>
          <w:rFonts w:ascii="Gill Sans MT" w:hAnsi="Gill Sans MT"/>
          <w:sz w:val="22"/>
          <w:szCs w:val="22"/>
        </w:rPr>
      </w:pPr>
      <w:proofErr w:type="gramStart"/>
      <w:r w:rsidRPr="00CB79C2">
        <w:rPr>
          <w:rFonts w:ascii="Gill Sans MT" w:hAnsi="Gill Sans MT" w:cs="Arial"/>
          <w:sz w:val="22"/>
          <w:szCs w:val="22"/>
        </w:rPr>
        <w:t>State of Victoria.</w:t>
      </w:r>
      <w:proofErr w:type="gramEnd"/>
      <w:r w:rsidRPr="00CB79C2">
        <w:rPr>
          <w:rFonts w:ascii="Gill Sans MT" w:hAnsi="Gill Sans MT" w:cs="Arial"/>
          <w:sz w:val="22"/>
          <w:szCs w:val="22"/>
        </w:rPr>
        <w:t xml:space="preserve"> Available from </w:t>
      </w:r>
      <w:hyperlink r:id="rId3" w:history="1">
        <w:r w:rsidRPr="00CB79C2">
          <w:rPr>
            <w:rStyle w:val="Hyperlink"/>
            <w:rFonts w:ascii="Gill Sans MT" w:hAnsi="Gill Sans MT" w:cs="Arial"/>
            <w:sz w:val="22"/>
            <w:szCs w:val="22"/>
          </w:rPr>
          <w:t>www2.health.vic.gov.au/about/publications/policiesandguidelines/victorian-hiv-strategy-2017-2020</w:t>
        </w:r>
      </w:hyperlink>
      <w:r w:rsidRPr="00CB79C2">
        <w:rPr>
          <w:rFonts w:ascii="Gill Sans MT" w:hAnsi="Gill Sans MT" w:cs="Arial"/>
          <w:sz w:val="22"/>
          <w:szCs w:val="22"/>
        </w:rPr>
        <w:t xml:space="preserve"> </w:t>
      </w:r>
    </w:p>
    <w:p w:rsidR="00F2210D" w:rsidRPr="00CB79C2" w:rsidRDefault="00F2210D" w:rsidP="00CB79C2">
      <w:pPr>
        <w:pStyle w:val="EndnoteText"/>
        <w:spacing w:after="140" w:line="300" w:lineRule="atLeast"/>
        <w:rPr>
          <w:rFonts w:ascii="Gill Sans MT" w:hAnsi="Gill Sans MT"/>
          <w:sz w:val="22"/>
          <w:szCs w:val="22"/>
        </w:rPr>
      </w:pPr>
      <w:r w:rsidRPr="00CB79C2">
        <w:rPr>
          <w:rStyle w:val="EndnoteReference"/>
          <w:rFonts w:ascii="Gill Sans MT" w:eastAsia="MS Gothic" w:hAnsi="Gill Sans MT"/>
          <w:sz w:val="22"/>
          <w:szCs w:val="22"/>
        </w:rPr>
        <w:endnoteRef/>
      </w:r>
      <w:r w:rsidRPr="00CB79C2">
        <w:rPr>
          <w:rFonts w:ascii="Gill Sans MT" w:hAnsi="Gill Sans MT"/>
          <w:sz w:val="22"/>
          <w:szCs w:val="22"/>
        </w:rPr>
        <w:t xml:space="preserve"> </w:t>
      </w:r>
      <w:proofErr w:type="spellStart"/>
      <w:r w:rsidRPr="00CB79C2">
        <w:rPr>
          <w:rFonts w:ascii="Gill Sans MT" w:hAnsi="Gill Sans MT" w:cs="Arial"/>
          <w:sz w:val="22"/>
          <w:szCs w:val="22"/>
        </w:rPr>
        <w:t>R.M.Grant</w:t>
      </w:r>
      <w:proofErr w:type="spellEnd"/>
      <w:r w:rsidRPr="00CB79C2">
        <w:rPr>
          <w:rFonts w:ascii="Gill Sans MT" w:hAnsi="Gill Sans MT" w:cs="Arial"/>
          <w:sz w:val="22"/>
          <w:szCs w:val="22"/>
        </w:rPr>
        <w:t xml:space="preserve">, </w:t>
      </w:r>
      <w:proofErr w:type="spellStart"/>
      <w:r w:rsidRPr="00CB79C2">
        <w:rPr>
          <w:rFonts w:ascii="Gill Sans MT" w:hAnsi="Gill Sans MT" w:cs="Arial"/>
          <w:sz w:val="22"/>
          <w:szCs w:val="22"/>
        </w:rPr>
        <w:t>P.L.Anderson</w:t>
      </w:r>
      <w:proofErr w:type="spellEnd"/>
      <w:r w:rsidRPr="00CB79C2">
        <w:rPr>
          <w:rFonts w:ascii="Gill Sans MT" w:hAnsi="Gill Sans MT" w:cs="Arial"/>
          <w:sz w:val="22"/>
          <w:szCs w:val="22"/>
        </w:rPr>
        <w:t xml:space="preserve">, </w:t>
      </w:r>
      <w:proofErr w:type="spellStart"/>
      <w:r w:rsidRPr="00CB79C2">
        <w:rPr>
          <w:rFonts w:ascii="Gill Sans MT" w:hAnsi="Gill Sans MT" w:cs="Arial"/>
          <w:sz w:val="22"/>
          <w:szCs w:val="22"/>
        </w:rPr>
        <w:t>V.McMahan</w:t>
      </w:r>
      <w:proofErr w:type="spellEnd"/>
      <w:r w:rsidRPr="00CB79C2">
        <w:rPr>
          <w:rFonts w:ascii="Gill Sans MT" w:hAnsi="Gill Sans MT" w:cs="Arial"/>
          <w:sz w:val="22"/>
          <w:szCs w:val="22"/>
        </w:rPr>
        <w:t xml:space="preserve">, et al., 2014, </w:t>
      </w:r>
      <w:r w:rsidRPr="00CB79C2">
        <w:rPr>
          <w:rFonts w:ascii="Gill Sans MT" w:hAnsi="Gill Sans MT" w:cs="Arial"/>
          <w:i/>
          <w:sz w:val="22"/>
          <w:szCs w:val="22"/>
        </w:rPr>
        <w:t>Uptake of pre-exposure prophylaxis, sexual practices, and HIV incidence in men and transgender women who have sex with men: a cohort study</w:t>
      </w:r>
      <w:r w:rsidRPr="00CB79C2">
        <w:rPr>
          <w:rFonts w:ascii="Gill Sans MT" w:hAnsi="Gill Sans MT" w:cs="Arial"/>
          <w:sz w:val="22"/>
          <w:szCs w:val="22"/>
        </w:rPr>
        <w:t>, </w:t>
      </w:r>
      <w:r w:rsidRPr="00CB79C2">
        <w:rPr>
          <w:rFonts w:ascii="Gill Sans MT" w:hAnsi="Gill Sans MT" w:cs="Arial"/>
          <w:iCs/>
          <w:sz w:val="22"/>
          <w:szCs w:val="22"/>
        </w:rPr>
        <w:t>The Lancet Infectious Diseases,</w:t>
      </w:r>
      <w:r w:rsidRPr="00CB79C2">
        <w:rPr>
          <w:rFonts w:ascii="Gill Sans MT" w:hAnsi="Gill Sans MT" w:cs="Arial"/>
          <w:sz w:val="22"/>
          <w:szCs w:val="22"/>
        </w:rPr>
        <w:t xml:space="preserve"> July 22</w:t>
      </w:r>
      <w:r w:rsidRPr="00CB79C2">
        <w:rPr>
          <w:rFonts w:ascii="Gill Sans MT" w:hAnsi="Gill Sans MT" w:cs="Arial"/>
          <w:iCs/>
          <w:sz w:val="22"/>
          <w:szCs w:val="22"/>
        </w:rPr>
        <w:t xml:space="preserve">. Available from </w:t>
      </w:r>
      <w:hyperlink r:id="rId4" w:history="1">
        <w:r w:rsidR="007A22C7" w:rsidRPr="00CB79C2">
          <w:rPr>
            <w:rStyle w:val="Hyperlink"/>
            <w:rFonts w:ascii="Gill Sans MT" w:hAnsi="Gill Sans MT" w:cs="Arial"/>
            <w:iCs/>
            <w:sz w:val="22"/>
            <w:szCs w:val="22"/>
          </w:rPr>
          <w:t>www.thelancet.com/journals/laninf/article/PIIS1473-3099(14)70847-3/abstract</w:t>
        </w:r>
      </w:hyperlink>
    </w:p>
  </w:endnote>
  <w:endnote w:id="4">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w:t>
      </w:r>
      <w:proofErr w:type="gramStart"/>
      <w:r w:rsidRPr="00CB79C2">
        <w:rPr>
          <w:rFonts w:ascii="Gill Sans MT" w:hAnsi="Gill Sans MT" w:cs="Arial"/>
          <w:sz w:val="22"/>
          <w:szCs w:val="22"/>
        </w:rPr>
        <w:t xml:space="preserve">World Health Organization, 2012, </w:t>
      </w:r>
      <w:r w:rsidRPr="00CB79C2">
        <w:rPr>
          <w:rFonts w:ascii="Gill Sans MT" w:hAnsi="Gill Sans MT" w:cs="Arial"/>
          <w:i/>
          <w:sz w:val="22"/>
          <w:szCs w:val="22"/>
        </w:rPr>
        <w:t>Guidance on oral pre-exposure prophylaxis (</w:t>
      </w:r>
      <w:proofErr w:type="spellStart"/>
      <w:r w:rsidRPr="00CB79C2">
        <w:rPr>
          <w:rFonts w:ascii="Gill Sans MT" w:hAnsi="Gill Sans MT" w:cs="Arial"/>
          <w:i/>
          <w:sz w:val="22"/>
          <w:szCs w:val="22"/>
        </w:rPr>
        <w:t>PrEP</w:t>
      </w:r>
      <w:proofErr w:type="spellEnd"/>
      <w:r w:rsidRPr="00CB79C2">
        <w:rPr>
          <w:rFonts w:ascii="Gill Sans MT" w:hAnsi="Gill Sans MT" w:cs="Arial"/>
          <w:i/>
          <w:sz w:val="22"/>
          <w:szCs w:val="22"/>
        </w:rPr>
        <w:t xml:space="preserve">) for </w:t>
      </w:r>
      <w:proofErr w:type="spellStart"/>
      <w:r w:rsidRPr="00CB79C2">
        <w:rPr>
          <w:rFonts w:ascii="Gill Sans MT" w:hAnsi="Gill Sans MT" w:cs="Arial"/>
          <w:i/>
          <w:sz w:val="22"/>
          <w:szCs w:val="22"/>
        </w:rPr>
        <w:t>serodiscordant</w:t>
      </w:r>
      <w:proofErr w:type="spellEnd"/>
      <w:r w:rsidRPr="00CB79C2">
        <w:rPr>
          <w:rFonts w:ascii="Gill Sans MT" w:hAnsi="Gill Sans MT" w:cs="Arial"/>
          <w:i/>
          <w:sz w:val="22"/>
          <w:szCs w:val="22"/>
        </w:rPr>
        <w:t xml:space="preserve"> couples, men and transgender women who have sex with men at high risk of HIV: Recommendations for use in the context of demonstration projects</w:t>
      </w:r>
      <w:r w:rsidRPr="00CB79C2">
        <w:rPr>
          <w:rFonts w:ascii="Gill Sans MT" w:hAnsi="Gill Sans MT" w:cs="Arial"/>
          <w:sz w:val="22"/>
          <w:szCs w:val="22"/>
        </w:rPr>
        <w:t>, WHO Press, Geneva.</w:t>
      </w:r>
      <w:proofErr w:type="gramEnd"/>
      <w:r w:rsidRPr="00CB79C2">
        <w:rPr>
          <w:rFonts w:ascii="Gill Sans MT" w:hAnsi="Gill Sans MT" w:cs="Arial"/>
          <w:sz w:val="22"/>
          <w:szCs w:val="22"/>
        </w:rPr>
        <w:t xml:space="preserve"> Available from </w:t>
      </w:r>
      <w:hyperlink r:id="rId5" w:history="1">
        <w:r w:rsidR="007A22C7" w:rsidRPr="00CB79C2">
          <w:rPr>
            <w:rStyle w:val="Hyperlink"/>
            <w:rFonts w:ascii="Gill Sans MT" w:hAnsi="Gill Sans MT" w:cs="Arial"/>
            <w:sz w:val="22"/>
            <w:szCs w:val="22"/>
          </w:rPr>
          <w:t>www.who.int/hiv/pub/guidance_prep/en/</w:t>
        </w:r>
      </w:hyperlink>
      <w:r w:rsidRPr="00CB79C2">
        <w:rPr>
          <w:rFonts w:ascii="Gill Sans MT" w:hAnsi="Gill Sans MT" w:cs="Arial"/>
          <w:sz w:val="22"/>
          <w:szCs w:val="22"/>
        </w:rPr>
        <w:t xml:space="preserve"> </w:t>
      </w:r>
    </w:p>
  </w:endnote>
  <w:endnote w:id="5">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Gilead Sciences, 2014, </w:t>
      </w:r>
      <w:proofErr w:type="spellStart"/>
      <w:r w:rsidRPr="00CB79C2">
        <w:rPr>
          <w:rFonts w:ascii="Gill Sans MT" w:hAnsi="Gill Sans MT" w:cs="Arial"/>
          <w:i/>
          <w:sz w:val="22"/>
          <w:szCs w:val="22"/>
        </w:rPr>
        <w:t>Truvada</w:t>
      </w:r>
      <w:proofErr w:type="spellEnd"/>
      <w:r w:rsidRPr="00CB79C2">
        <w:rPr>
          <w:rFonts w:ascii="Gill Sans MT" w:hAnsi="Gill Sans MT" w:cs="Arial"/>
          <w:sz w:val="22"/>
          <w:szCs w:val="22"/>
        </w:rPr>
        <w:t xml:space="preserve">, Gilead Sciences website. Available from </w:t>
      </w:r>
      <w:hyperlink r:id="rId6" w:history="1">
        <w:r w:rsidR="007A22C7" w:rsidRPr="00CB79C2">
          <w:rPr>
            <w:rStyle w:val="Hyperlink"/>
            <w:rFonts w:ascii="Gill Sans MT" w:hAnsi="Gill Sans MT" w:cs="Arial"/>
            <w:sz w:val="22"/>
            <w:szCs w:val="22"/>
          </w:rPr>
          <w:t>www.truvada.com/</w:t>
        </w:r>
      </w:hyperlink>
    </w:p>
  </w:endnote>
  <w:endnote w:id="6">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United States Public Health Service, 2014, </w:t>
      </w:r>
      <w:proofErr w:type="spellStart"/>
      <w:r w:rsidRPr="00CB79C2">
        <w:rPr>
          <w:rFonts w:ascii="Gill Sans MT" w:hAnsi="Gill Sans MT" w:cs="Arial"/>
          <w:i/>
          <w:sz w:val="22"/>
          <w:szCs w:val="22"/>
        </w:rPr>
        <w:t>Preexposure</w:t>
      </w:r>
      <w:proofErr w:type="spellEnd"/>
      <w:r w:rsidRPr="00CB79C2">
        <w:rPr>
          <w:rFonts w:ascii="Gill Sans MT" w:hAnsi="Gill Sans MT" w:cs="Arial"/>
          <w:i/>
          <w:sz w:val="22"/>
          <w:szCs w:val="22"/>
        </w:rPr>
        <w:t xml:space="preserve"> Prophylaxis for the Prevention of HIV Infection in the United States: A clinical practice guideline</w:t>
      </w:r>
      <w:r w:rsidRPr="00CB79C2">
        <w:rPr>
          <w:rFonts w:ascii="Gill Sans MT" w:hAnsi="Gill Sans MT" w:cs="Arial"/>
          <w:sz w:val="22"/>
          <w:szCs w:val="22"/>
        </w:rPr>
        <w:t xml:space="preserve">, </w:t>
      </w:r>
      <w:proofErr w:type="spellStart"/>
      <w:r w:rsidRPr="00CB79C2">
        <w:rPr>
          <w:rFonts w:ascii="Gill Sans MT" w:hAnsi="Gill Sans MT" w:cs="Arial"/>
          <w:sz w:val="22"/>
          <w:szCs w:val="22"/>
        </w:rPr>
        <w:t>Centers</w:t>
      </w:r>
      <w:proofErr w:type="spellEnd"/>
      <w:r w:rsidRPr="00CB79C2">
        <w:rPr>
          <w:rFonts w:ascii="Gill Sans MT" w:hAnsi="Gill Sans MT" w:cs="Arial"/>
          <w:sz w:val="22"/>
          <w:szCs w:val="22"/>
        </w:rPr>
        <w:t xml:space="preserve"> for Disease Control and Prevention, Atlanta. Available from </w:t>
      </w:r>
      <w:hyperlink r:id="rId7" w:history="1">
        <w:r w:rsidR="007A22C7" w:rsidRPr="00CB79C2">
          <w:rPr>
            <w:rStyle w:val="Hyperlink"/>
            <w:rFonts w:ascii="Gill Sans MT" w:hAnsi="Gill Sans MT" w:cs="Arial"/>
            <w:sz w:val="22"/>
            <w:szCs w:val="22"/>
          </w:rPr>
          <w:t>www.cdc.gov/hiv/pdf/prepguidelines2014.pdf</w:t>
        </w:r>
      </w:hyperlink>
    </w:p>
  </w:endnote>
  <w:endnote w:id="7">
    <w:p w:rsidR="00F2210D" w:rsidRPr="00CB79C2" w:rsidRDefault="00F2210D" w:rsidP="00CB79C2">
      <w:pPr>
        <w:pStyle w:val="EndnoteText"/>
        <w:spacing w:after="140" w:line="300" w:lineRule="atLeast"/>
        <w:rPr>
          <w:rFonts w:ascii="Gill Sans MT" w:hAnsi="Gill Sans MT"/>
          <w:sz w:val="22"/>
          <w:szCs w:val="22"/>
        </w:rPr>
      </w:pPr>
      <w:r w:rsidRPr="00CB79C2">
        <w:rPr>
          <w:rStyle w:val="EndnoteReference"/>
          <w:rFonts w:ascii="Gill Sans MT" w:eastAsia="MS Gothic" w:hAnsi="Gill Sans MT"/>
          <w:sz w:val="22"/>
          <w:szCs w:val="22"/>
        </w:rPr>
        <w:endnoteRef/>
      </w:r>
      <w:r w:rsidRPr="00CB79C2">
        <w:rPr>
          <w:rFonts w:ascii="Gill Sans MT" w:hAnsi="Gill Sans MT"/>
          <w:sz w:val="22"/>
          <w:szCs w:val="22"/>
        </w:rPr>
        <w:t xml:space="preserve"> </w:t>
      </w:r>
      <w:r w:rsidRPr="00CB79C2">
        <w:rPr>
          <w:rFonts w:ascii="Gill Sans MT" w:hAnsi="Gill Sans MT" w:cs="Arial"/>
          <w:sz w:val="22"/>
          <w:szCs w:val="22"/>
        </w:rPr>
        <w:t xml:space="preserve">Cottrell, M.L. et al., 2016, A Translational Pharmacology Approach to Predicting Outcomes of Pre-exposure Prophylaxis Against HIV in Men and Women Using </w:t>
      </w:r>
      <w:proofErr w:type="spellStart"/>
      <w:r w:rsidRPr="00CB79C2">
        <w:rPr>
          <w:rFonts w:ascii="Gill Sans MT" w:hAnsi="Gill Sans MT" w:cs="Arial"/>
          <w:sz w:val="22"/>
          <w:szCs w:val="22"/>
        </w:rPr>
        <w:t>Tenofovir</w:t>
      </w:r>
      <w:proofErr w:type="spellEnd"/>
      <w:r w:rsidRPr="00CB79C2">
        <w:rPr>
          <w:rFonts w:ascii="Gill Sans MT" w:hAnsi="Gill Sans MT" w:cs="Arial"/>
          <w:sz w:val="22"/>
          <w:szCs w:val="22"/>
        </w:rPr>
        <w:t xml:space="preserve"> </w:t>
      </w:r>
      <w:proofErr w:type="spellStart"/>
      <w:r w:rsidRPr="00CB79C2">
        <w:rPr>
          <w:rFonts w:ascii="Gill Sans MT" w:hAnsi="Gill Sans MT" w:cs="Arial"/>
          <w:sz w:val="22"/>
          <w:szCs w:val="22"/>
        </w:rPr>
        <w:t>Disoproxil</w:t>
      </w:r>
      <w:proofErr w:type="spellEnd"/>
      <w:r w:rsidRPr="00CB79C2">
        <w:rPr>
          <w:rFonts w:ascii="Gill Sans MT" w:hAnsi="Gill Sans MT" w:cs="Arial"/>
          <w:sz w:val="22"/>
          <w:szCs w:val="22"/>
        </w:rPr>
        <w:t xml:space="preserve"> Fumarate With or Without </w:t>
      </w:r>
      <w:proofErr w:type="spellStart"/>
      <w:r w:rsidRPr="00CB79C2">
        <w:rPr>
          <w:rFonts w:ascii="Gill Sans MT" w:hAnsi="Gill Sans MT" w:cs="Arial"/>
          <w:sz w:val="22"/>
          <w:szCs w:val="22"/>
        </w:rPr>
        <w:t>Emtracitabine</w:t>
      </w:r>
      <w:proofErr w:type="spellEnd"/>
      <w:r w:rsidRPr="00CB79C2">
        <w:rPr>
          <w:rFonts w:ascii="Gill Sans MT" w:hAnsi="Gill Sans MT" w:cs="Arial"/>
          <w:sz w:val="22"/>
          <w:szCs w:val="22"/>
        </w:rPr>
        <w:t>. The Journal of Infectious Diseases, Jul 1</w:t>
      </w:r>
      <w:proofErr w:type="gramStart"/>
      <w:r w:rsidRPr="00CB79C2">
        <w:rPr>
          <w:rFonts w:ascii="Gill Sans MT" w:hAnsi="Gill Sans MT" w:cs="Arial"/>
          <w:sz w:val="22"/>
          <w:szCs w:val="22"/>
        </w:rPr>
        <w:t>;214</w:t>
      </w:r>
      <w:proofErr w:type="gramEnd"/>
      <w:r w:rsidRPr="00CB79C2">
        <w:rPr>
          <w:rFonts w:ascii="Gill Sans MT" w:hAnsi="Gill Sans MT" w:cs="Arial"/>
          <w:sz w:val="22"/>
          <w:szCs w:val="22"/>
        </w:rPr>
        <w:t xml:space="preserve">(1):55-64. </w:t>
      </w:r>
      <w:proofErr w:type="spellStart"/>
      <w:proofErr w:type="gramStart"/>
      <w:r w:rsidRPr="00CB79C2">
        <w:rPr>
          <w:rFonts w:ascii="Gill Sans MT" w:hAnsi="Gill Sans MT" w:cs="Arial"/>
          <w:sz w:val="22"/>
          <w:szCs w:val="22"/>
        </w:rPr>
        <w:t>doi</w:t>
      </w:r>
      <w:proofErr w:type="spellEnd"/>
      <w:proofErr w:type="gramEnd"/>
      <w:r w:rsidRPr="00CB79C2">
        <w:rPr>
          <w:rFonts w:ascii="Gill Sans MT" w:hAnsi="Gill Sans MT" w:cs="Arial"/>
          <w:sz w:val="22"/>
          <w:szCs w:val="22"/>
        </w:rPr>
        <w:t xml:space="preserve">: 10.1093/ </w:t>
      </w:r>
      <w:proofErr w:type="spellStart"/>
      <w:r w:rsidRPr="00CB79C2">
        <w:rPr>
          <w:rFonts w:ascii="Gill Sans MT" w:hAnsi="Gill Sans MT" w:cs="Arial"/>
          <w:sz w:val="22"/>
          <w:szCs w:val="22"/>
        </w:rPr>
        <w:t>infdis</w:t>
      </w:r>
      <w:proofErr w:type="spellEnd"/>
      <w:r w:rsidRPr="00CB79C2">
        <w:rPr>
          <w:rFonts w:ascii="Gill Sans MT" w:hAnsi="Gill Sans MT" w:cs="Arial"/>
          <w:sz w:val="22"/>
          <w:szCs w:val="22"/>
        </w:rPr>
        <w:t>/jiw07</w:t>
      </w:r>
      <w:r w:rsidR="00CB79C2">
        <w:rPr>
          <w:rFonts w:ascii="Gill Sans MT" w:hAnsi="Gill Sans MT" w:cs="Arial"/>
          <w:sz w:val="22"/>
          <w:szCs w:val="22"/>
        </w:rPr>
        <w:t xml:space="preserve">7, </w:t>
      </w:r>
      <w:proofErr w:type="spellStart"/>
      <w:r w:rsidR="00CB79C2">
        <w:rPr>
          <w:rFonts w:ascii="Gill Sans MT" w:hAnsi="Gill Sans MT" w:cs="Arial"/>
          <w:sz w:val="22"/>
          <w:szCs w:val="22"/>
        </w:rPr>
        <w:t>Epub</w:t>
      </w:r>
      <w:proofErr w:type="spellEnd"/>
      <w:r w:rsidR="00CB79C2">
        <w:rPr>
          <w:rFonts w:ascii="Gill Sans MT" w:hAnsi="Gill Sans MT" w:cs="Arial"/>
          <w:sz w:val="22"/>
          <w:szCs w:val="22"/>
        </w:rPr>
        <w:t xml:space="preserve">. Available from </w:t>
      </w:r>
      <w:hyperlink r:id="rId8" w:history="1">
        <w:r w:rsidR="00CB79C2" w:rsidRPr="00E025F6">
          <w:rPr>
            <w:rStyle w:val="Hyperlink"/>
            <w:rFonts w:ascii="Gill Sans MT" w:hAnsi="Gill Sans MT" w:cs="Arial"/>
            <w:sz w:val="22"/>
            <w:szCs w:val="22"/>
          </w:rPr>
          <w:t>www.ncbi.nlm.nih.gov/pubmed/26917574</w:t>
        </w:r>
      </w:hyperlink>
      <w:r w:rsidR="00CB79C2">
        <w:rPr>
          <w:rFonts w:ascii="Gill Sans MT" w:hAnsi="Gill Sans MT" w:cs="Arial"/>
          <w:sz w:val="22"/>
          <w:szCs w:val="22"/>
        </w:rPr>
        <w:t xml:space="preserve"> </w:t>
      </w:r>
    </w:p>
  </w:endnote>
  <w:endnote w:id="8">
    <w:p w:rsidR="00F2210D" w:rsidRPr="00CB79C2" w:rsidRDefault="00F2210D" w:rsidP="00CB79C2">
      <w:pPr>
        <w:pStyle w:val="DHHSbody"/>
        <w:spacing w:after="140" w:line="300" w:lineRule="atLeast"/>
        <w:rPr>
          <w:rFonts w:ascii="Gill Sans MT" w:hAnsi="Gill Sans MT" w:cs="Arial"/>
          <w:sz w:val="22"/>
          <w:szCs w:val="22"/>
        </w:rPr>
      </w:pPr>
      <w:r w:rsidRPr="00CB79C2">
        <w:rPr>
          <w:rStyle w:val="EndnoteReference"/>
          <w:rFonts w:ascii="Gill Sans MT" w:hAnsi="Gill Sans MT" w:cs="Arial"/>
          <w:sz w:val="22"/>
          <w:szCs w:val="22"/>
        </w:rPr>
        <w:endnoteRef/>
      </w:r>
      <w:r w:rsidRPr="00CB79C2">
        <w:rPr>
          <w:rFonts w:ascii="Gill Sans MT" w:hAnsi="Gill Sans MT" w:cs="Arial"/>
          <w:sz w:val="22"/>
          <w:szCs w:val="22"/>
        </w:rPr>
        <w:t xml:space="preserve"> World Health Organisation, 2015, </w:t>
      </w:r>
      <w:r w:rsidRPr="00CB79C2">
        <w:rPr>
          <w:rFonts w:ascii="Gill Sans MT" w:hAnsi="Gill Sans MT" w:cs="Arial"/>
          <w:i/>
          <w:sz w:val="22"/>
          <w:szCs w:val="22"/>
        </w:rPr>
        <w:t>Guideline on when to start antiretroviral therapy and on pre-exposure prophylaxis for HIV</w:t>
      </w:r>
      <w:r w:rsidRPr="00CB79C2">
        <w:rPr>
          <w:rFonts w:ascii="Gill Sans MT" w:hAnsi="Gill Sans MT" w:cs="Arial"/>
          <w:sz w:val="22"/>
          <w:szCs w:val="22"/>
        </w:rPr>
        <w:t>, WHO Press, Geneva. Available from</w:t>
      </w:r>
      <w:r w:rsidR="00465820">
        <w:rPr>
          <w:rFonts w:ascii="Gill Sans MT" w:hAnsi="Gill Sans MT" w:cs="Arial"/>
          <w:sz w:val="22"/>
          <w:szCs w:val="22"/>
        </w:rPr>
        <w:t xml:space="preserve"> </w:t>
      </w:r>
      <w:hyperlink r:id="rId9" w:history="1">
        <w:r w:rsidR="007A22C7" w:rsidRPr="00CB79C2">
          <w:rPr>
            <w:rStyle w:val="Hyperlink"/>
            <w:rFonts w:ascii="Gill Sans MT" w:hAnsi="Gill Sans MT" w:cs="Arial"/>
            <w:sz w:val="22"/>
            <w:szCs w:val="22"/>
          </w:rPr>
          <w:t>www.who.int/hiv/pub/guidelines/earlyrelease-arv/en/</w:t>
        </w:r>
      </w:hyperlink>
      <w:r w:rsidRPr="00CB79C2">
        <w:rPr>
          <w:rFonts w:ascii="Gill Sans MT" w:hAnsi="Gill Sans MT" w:cs="Arial"/>
          <w:sz w:val="22"/>
          <w:szCs w:val="22"/>
        </w:rPr>
        <w:t xml:space="preserve"> </w:t>
      </w:r>
    </w:p>
  </w:endnote>
  <w:endnote w:id="9">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Therapeutic Goods Administration, 2004, </w:t>
      </w:r>
      <w:r w:rsidRPr="00CB79C2">
        <w:rPr>
          <w:rFonts w:ascii="Gill Sans MT" w:hAnsi="Gill Sans MT" w:cs="Arial"/>
          <w:i/>
          <w:sz w:val="22"/>
          <w:szCs w:val="22"/>
        </w:rPr>
        <w:t xml:space="preserve">Access to unapproved therapeutic goods: Personal Importation, </w:t>
      </w:r>
      <w:r w:rsidRPr="00CB79C2">
        <w:rPr>
          <w:rFonts w:ascii="Gill Sans MT" w:hAnsi="Gill Sans MT" w:cs="Arial"/>
          <w:sz w:val="22"/>
          <w:szCs w:val="22"/>
        </w:rPr>
        <w:t xml:space="preserve">Australian Government, Canberra. Available from </w:t>
      </w:r>
      <w:hyperlink r:id="rId10" w:history="1">
        <w:r w:rsidR="007A22C7" w:rsidRPr="00CB79C2">
          <w:rPr>
            <w:rStyle w:val="Hyperlink"/>
            <w:rFonts w:ascii="Gill Sans MT" w:hAnsi="Gill Sans MT" w:cs="Arial"/>
            <w:sz w:val="22"/>
            <w:szCs w:val="22"/>
          </w:rPr>
          <w:t>www.tga.gov.au/sites/default/files/access-personal-import-guidelines.pdf</w:t>
        </w:r>
      </w:hyperlink>
    </w:p>
  </w:endnote>
  <w:endnote w:id="10">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World Health Organization, 2012, </w:t>
      </w:r>
      <w:r w:rsidRPr="00CB79C2">
        <w:rPr>
          <w:rFonts w:ascii="Gill Sans MT" w:hAnsi="Gill Sans MT" w:cs="Arial"/>
          <w:i/>
          <w:sz w:val="22"/>
          <w:szCs w:val="22"/>
        </w:rPr>
        <w:t>Programmatic Update: Antiretroviral Treatment as Prevention (TASP) of HIV and TB,</w:t>
      </w:r>
      <w:r w:rsidRPr="00CB79C2">
        <w:rPr>
          <w:rFonts w:ascii="Gill Sans MT" w:hAnsi="Gill Sans MT" w:cs="Arial"/>
          <w:sz w:val="22"/>
          <w:szCs w:val="22"/>
        </w:rPr>
        <w:t xml:space="preserve"> WHO Press, Geneva. Available from </w:t>
      </w:r>
      <w:hyperlink r:id="rId11" w:history="1">
        <w:r w:rsidR="007A22C7" w:rsidRPr="00CB79C2">
          <w:rPr>
            <w:rStyle w:val="Hyperlink"/>
            <w:rFonts w:ascii="Gill Sans MT" w:hAnsi="Gill Sans MT" w:cs="Arial"/>
            <w:sz w:val="22"/>
            <w:szCs w:val="22"/>
          </w:rPr>
          <w:t>www.who.int/hiv/pub/mtct/programmatic_update_tasp/en/</w:t>
        </w:r>
      </w:hyperlink>
    </w:p>
  </w:endnote>
  <w:endnote w:id="11">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B.R. </w:t>
      </w:r>
      <w:proofErr w:type="spellStart"/>
      <w:r w:rsidRPr="00CB79C2">
        <w:rPr>
          <w:rFonts w:ascii="Gill Sans MT" w:hAnsi="Gill Sans MT" w:cs="Arial"/>
          <w:sz w:val="22"/>
          <w:szCs w:val="22"/>
        </w:rPr>
        <w:t>Bavinton</w:t>
      </w:r>
      <w:proofErr w:type="spellEnd"/>
      <w:r w:rsidRPr="00CB79C2">
        <w:rPr>
          <w:rFonts w:ascii="Gill Sans MT" w:hAnsi="Gill Sans MT" w:cs="Arial"/>
          <w:sz w:val="22"/>
          <w:szCs w:val="22"/>
        </w:rPr>
        <w:t xml:space="preserve">, F. </w:t>
      </w:r>
      <w:proofErr w:type="spellStart"/>
      <w:r w:rsidRPr="00CB79C2">
        <w:rPr>
          <w:rFonts w:ascii="Gill Sans MT" w:hAnsi="Gill Sans MT" w:cs="Arial"/>
          <w:sz w:val="22"/>
          <w:szCs w:val="22"/>
        </w:rPr>
        <w:t>Jin</w:t>
      </w:r>
      <w:proofErr w:type="spellEnd"/>
      <w:r w:rsidRPr="00CB79C2">
        <w:rPr>
          <w:rFonts w:ascii="Gill Sans MT" w:hAnsi="Gill Sans MT" w:cs="Arial"/>
          <w:sz w:val="22"/>
          <w:szCs w:val="22"/>
        </w:rPr>
        <w:t xml:space="preserve">, G. </w:t>
      </w:r>
      <w:proofErr w:type="spellStart"/>
      <w:r w:rsidRPr="00CB79C2">
        <w:rPr>
          <w:rFonts w:ascii="Gill Sans MT" w:hAnsi="Gill Sans MT" w:cs="Arial"/>
          <w:sz w:val="22"/>
          <w:szCs w:val="22"/>
        </w:rPr>
        <w:t>Prestage</w:t>
      </w:r>
      <w:proofErr w:type="spellEnd"/>
      <w:r w:rsidRPr="00CB79C2">
        <w:rPr>
          <w:rFonts w:ascii="Gill Sans MT" w:hAnsi="Gill Sans MT" w:cs="Arial"/>
          <w:sz w:val="22"/>
          <w:szCs w:val="22"/>
        </w:rPr>
        <w:t xml:space="preserve">, et al. (presenter </w:t>
      </w:r>
      <w:proofErr w:type="spellStart"/>
      <w:r w:rsidRPr="00CB79C2">
        <w:rPr>
          <w:rFonts w:ascii="Gill Sans MT" w:hAnsi="Gill Sans MT" w:cs="Arial"/>
          <w:sz w:val="22"/>
          <w:szCs w:val="22"/>
        </w:rPr>
        <w:t>Grulich</w:t>
      </w:r>
      <w:proofErr w:type="spellEnd"/>
      <w:r w:rsidRPr="00CB79C2">
        <w:rPr>
          <w:rFonts w:ascii="Gill Sans MT" w:hAnsi="Gill Sans MT" w:cs="Arial"/>
          <w:sz w:val="22"/>
          <w:szCs w:val="22"/>
        </w:rPr>
        <w:t xml:space="preserve"> A), </w:t>
      </w:r>
      <w:r w:rsidRPr="00CB79C2">
        <w:rPr>
          <w:rFonts w:ascii="Gill Sans MT" w:hAnsi="Gill Sans MT" w:cs="Arial"/>
          <w:i/>
          <w:sz w:val="22"/>
          <w:szCs w:val="22"/>
        </w:rPr>
        <w:t xml:space="preserve">HIV treatment prevents HIV transmission in male </w:t>
      </w:r>
      <w:proofErr w:type="spellStart"/>
      <w:r w:rsidRPr="00CB79C2">
        <w:rPr>
          <w:rFonts w:ascii="Gill Sans MT" w:hAnsi="Gill Sans MT" w:cs="Arial"/>
          <w:i/>
          <w:sz w:val="22"/>
          <w:szCs w:val="22"/>
        </w:rPr>
        <w:t>serodiscordant</w:t>
      </w:r>
      <w:proofErr w:type="spellEnd"/>
      <w:r w:rsidRPr="00CB79C2">
        <w:rPr>
          <w:rFonts w:ascii="Gill Sans MT" w:hAnsi="Gill Sans MT" w:cs="Arial"/>
          <w:i/>
          <w:sz w:val="22"/>
          <w:szCs w:val="22"/>
        </w:rPr>
        <w:t xml:space="preserve"> couples in Australia, Thailand and Brazil</w:t>
      </w:r>
      <w:r w:rsidRPr="00CB79C2">
        <w:rPr>
          <w:rFonts w:ascii="Gill Sans MT" w:hAnsi="Gill Sans MT" w:cs="Arial"/>
          <w:sz w:val="22"/>
          <w:szCs w:val="22"/>
        </w:rPr>
        <w:t>. 9</w:t>
      </w:r>
      <w:r w:rsidRPr="00CB79C2">
        <w:rPr>
          <w:rFonts w:ascii="Gill Sans MT" w:hAnsi="Gill Sans MT" w:cs="Arial"/>
          <w:sz w:val="22"/>
          <w:szCs w:val="22"/>
          <w:vertAlign w:val="superscript"/>
        </w:rPr>
        <w:t>th</w:t>
      </w:r>
      <w:r w:rsidRPr="00CB79C2">
        <w:rPr>
          <w:rFonts w:ascii="Gill Sans MT" w:hAnsi="Gill Sans MT" w:cs="Arial"/>
          <w:sz w:val="22"/>
          <w:szCs w:val="22"/>
        </w:rPr>
        <w:t xml:space="preserve"> International AIDS Society Conference on HIV Science, Paris, </w:t>
      </w:r>
      <w:proofErr w:type="gramStart"/>
      <w:r w:rsidRPr="00CB79C2">
        <w:rPr>
          <w:rFonts w:ascii="Gill Sans MT" w:hAnsi="Gill Sans MT" w:cs="Arial"/>
          <w:sz w:val="22"/>
          <w:szCs w:val="22"/>
        </w:rPr>
        <w:t>abstract</w:t>
      </w:r>
      <w:proofErr w:type="gramEnd"/>
      <w:r w:rsidRPr="00CB79C2">
        <w:rPr>
          <w:rFonts w:ascii="Gill Sans MT" w:hAnsi="Gill Sans MT" w:cs="Arial"/>
          <w:sz w:val="22"/>
          <w:szCs w:val="22"/>
        </w:rPr>
        <w:t xml:space="preserve"> no TUAC0506LB, July 2017. </w:t>
      </w:r>
      <w:proofErr w:type="gramStart"/>
      <w:r w:rsidRPr="00CB79C2">
        <w:rPr>
          <w:rFonts w:ascii="Gill Sans MT" w:hAnsi="Gill Sans MT" w:cs="Arial"/>
          <w:sz w:val="22"/>
          <w:szCs w:val="22"/>
        </w:rPr>
        <w:t xml:space="preserve">Available from </w:t>
      </w:r>
      <w:hyperlink r:id="rId12" w:history="1">
        <w:r w:rsidRPr="00CB79C2">
          <w:rPr>
            <w:rStyle w:val="Hyperlink"/>
            <w:rFonts w:ascii="Gill Sans MT" w:hAnsi="Gill Sans MT"/>
            <w:sz w:val="22"/>
            <w:szCs w:val="22"/>
          </w:rPr>
          <w:t>http://programme.ias2017.org/Abstract/Abstract/5469</w:t>
        </w:r>
      </w:hyperlink>
      <w:r w:rsidRPr="00CB79C2">
        <w:rPr>
          <w:rFonts w:ascii="Gill Sans MT" w:hAnsi="Gill Sans MT" w:cs="Arial"/>
          <w:sz w:val="22"/>
          <w:szCs w:val="22"/>
        </w:rPr>
        <w:t>.</w:t>
      </w:r>
      <w:proofErr w:type="gramEnd"/>
      <w:r w:rsidRPr="00CB79C2">
        <w:rPr>
          <w:rFonts w:ascii="Gill Sans MT" w:hAnsi="Gill Sans MT" w:cs="Arial"/>
          <w:sz w:val="22"/>
          <w:szCs w:val="22"/>
        </w:rPr>
        <w:t xml:space="preserve"> </w:t>
      </w:r>
    </w:p>
  </w:endnote>
  <w:endnote w:id="12">
    <w:p w:rsidR="00F2210D" w:rsidRPr="00AA32E6" w:rsidRDefault="00F2210D" w:rsidP="00CB79C2">
      <w:pPr>
        <w:pStyle w:val="EndnoteText"/>
        <w:spacing w:after="140" w:line="300" w:lineRule="atLeast"/>
        <w:rPr>
          <w:rFonts w:ascii="Arial" w:hAnsi="Arial" w:cs="Arial"/>
          <w:sz w:val="20"/>
          <w:szCs w:val="20"/>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M.S. Cohen, Y.Q. Chen, M McCauley, et al., 2016, </w:t>
      </w:r>
      <w:r w:rsidRPr="00CB79C2">
        <w:rPr>
          <w:rFonts w:ascii="Gill Sans MT" w:hAnsi="Gill Sans MT" w:cs="Arial"/>
          <w:i/>
          <w:sz w:val="22"/>
          <w:szCs w:val="22"/>
        </w:rPr>
        <w:t>Antiretroviral Therapy for the Prevention of HIV-1 Transmission</w:t>
      </w:r>
      <w:r w:rsidRPr="00CB79C2">
        <w:rPr>
          <w:rFonts w:ascii="Gill Sans MT" w:hAnsi="Gill Sans MT" w:cs="Arial"/>
          <w:sz w:val="22"/>
          <w:szCs w:val="22"/>
        </w:rPr>
        <w:t xml:space="preserve">, New England Journal of Medicine, 1 September. </w:t>
      </w:r>
      <w:proofErr w:type="gramStart"/>
      <w:r w:rsidRPr="00CB79C2">
        <w:rPr>
          <w:rFonts w:ascii="Gill Sans MT" w:hAnsi="Gill Sans MT" w:cs="Arial"/>
          <w:sz w:val="22"/>
          <w:szCs w:val="22"/>
        </w:rPr>
        <w:t xml:space="preserve">Available from </w:t>
      </w:r>
      <w:hyperlink r:id="rId13" w:history="1">
        <w:r w:rsidR="007A22C7" w:rsidRPr="00CB79C2">
          <w:rPr>
            <w:rStyle w:val="Hyperlink"/>
            <w:rFonts w:ascii="Gill Sans MT" w:hAnsi="Gill Sans MT"/>
            <w:sz w:val="22"/>
            <w:szCs w:val="22"/>
          </w:rPr>
          <w:t>www.nejm.org/doi/full/10.1056/NEJMoa1600693</w:t>
        </w:r>
      </w:hyperlink>
      <w:r w:rsidRPr="00CB79C2">
        <w:rPr>
          <w:rFonts w:ascii="Gill Sans MT" w:hAnsi="Gill Sans MT" w:cs="Arial"/>
          <w:sz w:val="22"/>
          <w:szCs w:val="22"/>
        </w:rPr>
        <w:t>.</w:t>
      </w:r>
      <w:proofErr w:type="gramEnd"/>
      <w:r w:rsidRPr="00CB79C2">
        <w:rPr>
          <w:rFonts w:ascii="Gill Sans MT" w:hAnsi="Gill Sans MT" w:cs="Arial"/>
          <w:sz w:val="22"/>
          <w:szCs w:val="22"/>
        </w:rPr>
        <w:t xml:space="preserve"> </w:t>
      </w:r>
    </w:p>
  </w:endnote>
  <w:endnote w:id="13">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A.J. Rodger, V. </w:t>
      </w:r>
      <w:proofErr w:type="spellStart"/>
      <w:r w:rsidRPr="00CB79C2">
        <w:rPr>
          <w:rFonts w:ascii="Gill Sans MT" w:hAnsi="Gill Sans MT" w:cs="Arial"/>
          <w:sz w:val="22"/>
          <w:szCs w:val="22"/>
        </w:rPr>
        <w:t>Cambiano</w:t>
      </w:r>
      <w:proofErr w:type="spellEnd"/>
      <w:r w:rsidRPr="00CB79C2">
        <w:rPr>
          <w:rFonts w:ascii="Gill Sans MT" w:hAnsi="Gill Sans MT" w:cs="Arial"/>
          <w:sz w:val="22"/>
          <w:szCs w:val="22"/>
        </w:rPr>
        <w:t xml:space="preserve">, T. </w:t>
      </w:r>
      <w:proofErr w:type="spellStart"/>
      <w:r w:rsidRPr="00CB79C2">
        <w:rPr>
          <w:rFonts w:ascii="Gill Sans MT" w:hAnsi="Gill Sans MT" w:cs="Arial"/>
          <w:sz w:val="22"/>
          <w:szCs w:val="22"/>
        </w:rPr>
        <w:t>Bruun</w:t>
      </w:r>
      <w:proofErr w:type="spellEnd"/>
      <w:r w:rsidRPr="00CB79C2">
        <w:rPr>
          <w:rFonts w:ascii="Gill Sans MT" w:hAnsi="Gill Sans MT" w:cs="Arial"/>
          <w:sz w:val="22"/>
          <w:szCs w:val="22"/>
        </w:rPr>
        <w:t xml:space="preserve">, et al., 2016, </w:t>
      </w:r>
      <w:r w:rsidRPr="00CB79C2">
        <w:rPr>
          <w:rFonts w:ascii="Gill Sans MT" w:hAnsi="Gill Sans MT" w:cs="Arial"/>
          <w:i/>
          <w:sz w:val="22"/>
          <w:szCs w:val="22"/>
        </w:rPr>
        <w:t xml:space="preserve">Sexual Activity </w:t>
      </w:r>
      <w:proofErr w:type="gramStart"/>
      <w:r w:rsidRPr="00CB79C2">
        <w:rPr>
          <w:rFonts w:ascii="Gill Sans MT" w:hAnsi="Gill Sans MT" w:cs="Arial"/>
          <w:i/>
          <w:sz w:val="22"/>
          <w:szCs w:val="22"/>
        </w:rPr>
        <w:t>Without</w:t>
      </w:r>
      <w:proofErr w:type="gramEnd"/>
      <w:r w:rsidRPr="00CB79C2">
        <w:rPr>
          <w:rFonts w:ascii="Gill Sans MT" w:hAnsi="Gill Sans MT" w:cs="Arial"/>
          <w:i/>
          <w:sz w:val="22"/>
          <w:szCs w:val="22"/>
        </w:rPr>
        <w:t xml:space="preserve"> Condoms and Risk of HIV Transmission in </w:t>
      </w:r>
      <w:proofErr w:type="spellStart"/>
      <w:r w:rsidRPr="00CB79C2">
        <w:rPr>
          <w:rFonts w:ascii="Gill Sans MT" w:hAnsi="Gill Sans MT" w:cs="Arial"/>
          <w:i/>
          <w:sz w:val="22"/>
          <w:szCs w:val="22"/>
        </w:rPr>
        <w:t>Serodifferent</w:t>
      </w:r>
      <w:proofErr w:type="spellEnd"/>
      <w:r w:rsidRPr="00CB79C2">
        <w:rPr>
          <w:rFonts w:ascii="Gill Sans MT" w:hAnsi="Gill Sans MT" w:cs="Arial"/>
          <w:i/>
          <w:sz w:val="22"/>
          <w:szCs w:val="22"/>
        </w:rPr>
        <w:t xml:space="preserve"> Couples When the HIV-Positive Partner is Using Suppressive Antiretroviral Therapy</w:t>
      </w:r>
      <w:r w:rsidRPr="00CB79C2">
        <w:rPr>
          <w:rFonts w:ascii="Gill Sans MT" w:hAnsi="Gill Sans MT" w:cs="Arial"/>
          <w:sz w:val="22"/>
          <w:szCs w:val="22"/>
        </w:rPr>
        <w:t xml:space="preserve">, Journal of the American Medical Association, July 12. </w:t>
      </w:r>
      <w:proofErr w:type="gramStart"/>
      <w:r w:rsidRPr="00CB79C2">
        <w:rPr>
          <w:rFonts w:ascii="Gill Sans MT" w:hAnsi="Gill Sans MT" w:cs="Arial"/>
          <w:sz w:val="22"/>
          <w:szCs w:val="22"/>
        </w:rPr>
        <w:t xml:space="preserve">Available from </w:t>
      </w:r>
      <w:hyperlink r:id="rId14" w:history="1">
        <w:r w:rsidRPr="00CB79C2">
          <w:rPr>
            <w:rStyle w:val="Hyperlink"/>
            <w:rFonts w:ascii="Gill Sans MT" w:hAnsi="Gill Sans MT"/>
            <w:sz w:val="22"/>
            <w:szCs w:val="22"/>
          </w:rPr>
          <w:t>https://jamanetwork.com/journals/jama/fullarticle/2533066</w:t>
        </w:r>
      </w:hyperlink>
      <w:r w:rsidRPr="00CB79C2">
        <w:rPr>
          <w:rFonts w:ascii="Gill Sans MT" w:hAnsi="Gill Sans MT" w:cs="Arial"/>
          <w:sz w:val="22"/>
          <w:szCs w:val="22"/>
        </w:rPr>
        <w:t>.</w:t>
      </w:r>
      <w:proofErr w:type="gramEnd"/>
      <w:r w:rsidRPr="00CB79C2">
        <w:rPr>
          <w:rFonts w:ascii="Gill Sans MT" w:hAnsi="Gill Sans MT" w:cs="Arial"/>
          <w:sz w:val="22"/>
          <w:szCs w:val="22"/>
        </w:rPr>
        <w:t xml:space="preserve"> </w:t>
      </w:r>
    </w:p>
  </w:endnote>
  <w:endnote w:id="14">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w:t>
      </w:r>
      <w:proofErr w:type="gramStart"/>
      <w:r w:rsidRPr="00CB79C2">
        <w:rPr>
          <w:rFonts w:ascii="Gill Sans MT" w:hAnsi="Gill Sans MT" w:cs="Arial"/>
          <w:sz w:val="22"/>
          <w:szCs w:val="22"/>
        </w:rPr>
        <w:t>Victorian NPEP Service, Alfred Hospital.</w:t>
      </w:r>
      <w:proofErr w:type="gramEnd"/>
      <w:r w:rsidRPr="00CB79C2">
        <w:rPr>
          <w:rFonts w:ascii="Gill Sans MT" w:hAnsi="Gill Sans MT" w:cs="Arial"/>
          <w:sz w:val="22"/>
          <w:szCs w:val="22"/>
        </w:rPr>
        <w:t xml:space="preserve"> Victorian guidelines for post-exposure prophylaxis following non-occupational exposure to HIV: Victorian NPEP Guidelines 2013; With Addendum (April 2014). Available from </w:t>
      </w:r>
      <w:hyperlink r:id="rId15" w:history="1">
        <w:r w:rsidRPr="00CB79C2">
          <w:rPr>
            <w:rStyle w:val="Hyperlink"/>
            <w:rFonts w:ascii="Gill Sans MT" w:hAnsi="Gill Sans MT" w:cs="Arial"/>
            <w:sz w:val="22"/>
            <w:szCs w:val="22"/>
          </w:rPr>
          <w:t>www2.health.vic.gov.au/about/publications/policiesandguidelines/victorian-npep-guidelines</w:t>
        </w:r>
      </w:hyperlink>
      <w:r w:rsidRPr="00CB79C2">
        <w:rPr>
          <w:rFonts w:ascii="Gill Sans MT" w:hAnsi="Gill Sans MT" w:cs="Arial"/>
          <w:sz w:val="22"/>
          <w:szCs w:val="22"/>
        </w:rPr>
        <w:t xml:space="preserve"> </w:t>
      </w:r>
    </w:p>
  </w:endnote>
  <w:endnote w:id="15">
    <w:p w:rsidR="00F2210D" w:rsidRPr="00CB79C2" w:rsidRDefault="00F2210D" w:rsidP="00CB79C2">
      <w:pPr>
        <w:pStyle w:val="EndnoteText"/>
        <w:spacing w:after="140" w:line="300" w:lineRule="atLeast"/>
        <w:rPr>
          <w:rFonts w:ascii="Gill Sans MT" w:hAnsi="Gill Sans MT" w:cs="Arial"/>
          <w:sz w:val="22"/>
          <w:szCs w:val="22"/>
        </w:rPr>
      </w:pPr>
      <w:r w:rsidRPr="00CB79C2">
        <w:rPr>
          <w:rStyle w:val="EndnoteReference"/>
          <w:rFonts w:ascii="Gill Sans MT" w:eastAsia="MS Gothic" w:hAnsi="Gill Sans MT" w:cs="Arial"/>
          <w:sz w:val="22"/>
          <w:szCs w:val="22"/>
        </w:rPr>
        <w:endnoteRef/>
      </w:r>
      <w:r w:rsidRPr="00CB79C2">
        <w:rPr>
          <w:rFonts w:ascii="Gill Sans MT" w:hAnsi="Gill Sans MT" w:cs="Arial"/>
          <w:sz w:val="22"/>
          <w:szCs w:val="22"/>
        </w:rPr>
        <w:t xml:space="preserve"> </w:t>
      </w:r>
      <w:proofErr w:type="gramStart"/>
      <w:r w:rsidRPr="00CB79C2">
        <w:rPr>
          <w:rFonts w:ascii="Gill Sans MT" w:hAnsi="Gill Sans MT" w:cs="Arial"/>
          <w:sz w:val="22"/>
          <w:szCs w:val="22"/>
        </w:rPr>
        <w:t xml:space="preserve">Therapeutic Goods Administration, 2015, </w:t>
      </w:r>
      <w:r w:rsidRPr="00CB79C2">
        <w:rPr>
          <w:rFonts w:ascii="Gill Sans MT" w:hAnsi="Gill Sans MT" w:cs="Arial"/>
          <w:i/>
          <w:sz w:val="22"/>
          <w:szCs w:val="22"/>
        </w:rPr>
        <w:t>Personal Importation Scheme</w:t>
      </w:r>
      <w:r w:rsidRPr="00CB79C2">
        <w:rPr>
          <w:rFonts w:ascii="Gill Sans MT" w:hAnsi="Gill Sans MT" w:cs="Arial"/>
          <w:sz w:val="22"/>
          <w:szCs w:val="22"/>
        </w:rPr>
        <w:t>.</w:t>
      </w:r>
      <w:proofErr w:type="gramEnd"/>
      <w:r w:rsidRPr="00CB79C2">
        <w:rPr>
          <w:rFonts w:ascii="Gill Sans MT" w:hAnsi="Gill Sans MT" w:cs="Arial"/>
          <w:sz w:val="22"/>
          <w:szCs w:val="22"/>
        </w:rPr>
        <w:t xml:space="preserve"> </w:t>
      </w:r>
      <w:proofErr w:type="gramStart"/>
      <w:r w:rsidRPr="00CB79C2">
        <w:rPr>
          <w:rFonts w:ascii="Gill Sans MT" w:hAnsi="Gill Sans MT" w:cs="Arial"/>
          <w:sz w:val="22"/>
          <w:szCs w:val="22"/>
        </w:rPr>
        <w:t xml:space="preserve">Available from </w:t>
      </w:r>
      <w:hyperlink r:id="rId16" w:history="1">
        <w:r w:rsidRPr="00CB79C2">
          <w:rPr>
            <w:rStyle w:val="Hyperlink"/>
            <w:rFonts w:ascii="Gill Sans MT" w:hAnsi="Gill Sans MT" w:cs="Arial"/>
            <w:sz w:val="22"/>
            <w:szCs w:val="22"/>
          </w:rPr>
          <w:t>https://www.tga.gov.au/personal-importation-scheme</w:t>
        </w:r>
      </w:hyperlink>
      <w:r w:rsidRPr="00CB79C2">
        <w:rPr>
          <w:rFonts w:ascii="Gill Sans MT" w:hAnsi="Gill Sans MT" w:cs="Arial"/>
          <w:sz w:val="22"/>
          <w:szCs w:val="22"/>
        </w:rPr>
        <w:t>.</w:t>
      </w:r>
      <w:proofErr w:type="gramEnd"/>
      <w:r w:rsidRPr="00CB79C2">
        <w:rPr>
          <w:rFonts w:ascii="Gill Sans MT" w:hAnsi="Gill Sans MT" w:cs="Arial"/>
          <w:sz w:val="22"/>
          <w:szCs w:val="22"/>
        </w:rPr>
        <w:t xml:space="preserve"> </w:t>
      </w:r>
    </w:p>
  </w:endnote>
  <w:endnote w:id="16">
    <w:p w:rsidR="00F2210D" w:rsidRPr="00CB79C2" w:rsidRDefault="00F2210D" w:rsidP="00CB79C2">
      <w:pPr>
        <w:pStyle w:val="EndnoteText"/>
        <w:spacing w:after="140" w:line="300" w:lineRule="atLeast"/>
        <w:rPr>
          <w:rFonts w:ascii="Gill Sans MT" w:hAnsi="Gill Sans MT"/>
          <w:sz w:val="22"/>
          <w:szCs w:val="22"/>
        </w:rPr>
      </w:pPr>
      <w:r w:rsidRPr="00CB79C2">
        <w:rPr>
          <w:rStyle w:val="EndnoteReference"/>
          <w:rFonts w:ascii="Gill Sans MT" w:eastAsia="MS Gothic" w:hAnsi="Gill Sans MT"/>
          <w:sz w:val="22"/>
          <w:szCs w:val="22"/>
        </w:rPr>
        <w:endnoteRef/>
      </w:r>
      <w:r w:rsidRPr="00CB79C2">
        <w:rPr>
          <w:rFonts w:ascii="Gill Sans MT" w:hAnsi="Gill Sans MT"/>
          <w:sz w:val="22"/>
          <w:szCs w:val="22"/>
        </w:rPr>
        <w:t xml:space="preserve"> </w:t>
      </w:r>
      <w:r w:rsidRPr="00CB79C2">
        <w:rPr>
          <w:rFonts w:ascii="Gill Sans MT" w:hAnsi="Gill Sans MT" w:cs="Arial"/>
          <w:sz w:val="22"/>
          <w:szCs w:val="22"/>
        </w:rPr>
        <w:t xml:space="preserve">J.M. Molina, C. </w:t>
      </w:r>
      <w:proofErr w:type="spellStart"/>
      <w:r w:rsidRPr="00CB79C2">
        <w:rPr>
          <w:rFonts w:ascii="Gill Sans MT" w:hAnsi="Gill Sans MT" w:cs="Arial"/>
          <w:sz w:val="22"/>
          <w:szCs w:val="22"/>
        </w:rPr>
        <w:t>Capitant</w:t>
      </w:r>
      <w:proofErr w:type="spellEnd"/>
      <w:r w:rsidRPr="00CB79C2">
        <w:rPr>
          <w:rFonts w:ascii="Gill Sans MT" w:hAnsi="Gill Sans MT" w:cs="Arial"/>
          <w:sz w:val="22"/>
          <w:szCs w:val="22"/>
        </w:rPr>
        <w:t xml:space="preserve">, B. Spire, et al., 2015, </w:t>
      </w:r>
      <w:r w:rsidRPr="00CB79C2">
        <w:rPr>
          <w:rFonts w:ascii="Gill Sans MT" w:hAnsi="Gill Sans MT" w:cs="Arial"/>
          <w:i/>
          <w:sz w:val="22"/>
          <w:szCs w:val="22"/>
        </w:rPr>
        <w:t xml:space="preserve">On-Demand </w:t>
      </w:r>
      <w:proofErr w:type="spellStart"/>
      <w:r w:rsidRPr="00CB79C2">
        <w:rPr>
          <w:rFonts w:ascii="Gill Sans MT" w:hAnsi="Gill Sans MT" w:cs="Arial"/>
          <w:i/>
          <w:sz w:val="22"/>
          <w:szCs w:val="22"/>
        </w:rPr>
        <w:t>Preexposure</w:t>
      </w:r>
      <w:proofErr w:type="spellEnd"/>
      <w:r w:rsidRPr="00CB79C2">
        <w:rPr>
          <w:rFonts w:ascii="Gill Sans MT" w:hAnsi="Gill Sans MT" w:cs="Arial"/>
          <w:i/>
          <w:sz w:val="22"/>
          <w:szCs w:val="22"/>
        </w:rPr>
        <w:t xml:space="preserve"> Prophylaxis in Men at High Risk for HIV-1 Infection</w:t>
      </w:r>
      <w:r w:rsidRPr="00CB79C2">
        <w:rPr>
          <w:rFonts w:ascii="Gill Sans MT" w:hAnsi="Gill Sans MT" w:cs="Arial"/>
          <w:sz w:val="22"/>
          <w:szCs w:val="22"/>
        </w:rPr>
        <w:t xml:space="preserve">, New England Journal of Medicine, 3 December. </w:t>
      </w:r>
      <w:proofErr w:type="gramStart"/>
      <w:r w:rsidRPr="00CB79C2">
        <w:rPr>
          <w:rFonts w:ascii="Gill Sans MT" w:hAnsi="Gill Sans MT" w:cs="Arial"/>
          <w:sz w:val="22"/>
          <w:szCs w:val="22"/>
        </w:rPr>
        <w:t xml:space="preserve">Available from </w:t>
      </w:r>
      <w:hyperlink r:id="rId17" w:history="1">
        <w:r w:rsidR="007A22C7" w:rsidRPr="00CB79C2">
          <w:rPr>
            <w:rStyle w:val="Hyperlink"/>
            <w:rFonts w:ascii="Gill Sans MT" w:hAnsi="Gill Sans MT" w:cs="Arial"/>
            <w:sz w:val="22"/>
            <w:szCs w:val="22"/>
          </w:rPr>
          <w:t>www.nejm.org/doi/full/10.1056/NEJMoa1506273</w:t>
        </w:r>
      </w:hyperlink>
      <w:r w:rsidRPr="00CB79C2">
        <w:rPr>
          <w:rFonts w:ascii="Gill Sans MT" w:hAnsi="Gill Sans MT" w:cs="Arial"/>
          <w:sz w:val="22"/>
          <w:szCs w:val="22"/>
        </w:rPr>
        <w:t>.</w:t>
      </w:r>
      <w:proofErr w:type="gramEnd"/>
    </w:p>
  </w:endnote>
  <w:endnote w:id="17">
    <w:p w:rsidR="00F2210D" w:rsidRPr="00CB79C2" w:rsidRDefault="00F2210D" w:rsidP="00CB79C2">
      <w:pPr>
        <w:pStyle w:val="DHHSbody"/>
        <w:spacing w:after="140" w:line="300" w:lineRule="atLeast"/>
        <w:rPr>
          <w:rFonts w:ascii="Gill Sans MT" w:hAnsi="Gill Sans MT" w:cs="Arial"/>
          <w:sz w:val="22"/>
          <w:szCs w:val="22"/>
        </w:rPr>
      </w:pPr>
      <w:r w:rsidRPr="00CB79C2">
        <w:rPr>
          <w:rStyle w:val="EndnoteReference"/>
          <w:rFonts w:ascii="Gill Sans MT" w:hAnsi="Gill Sans MT" w:cs="Arial"/>
          <w:sz w:val="22"/>
          <w:szCs w:val="22"/>
        </w:rPr>
        <w:endnoteRef/>
      </w:r>
      <w:r w:rsidRPr="00CB79C2">
        <w:rPr>
          <w:rFonts w:ascii="Gill Sans MT" w:hAnsi="Gill Sans MT" w:cs="Arial"/>
          <w:sz w:val="22"/>
          <w:szCs w:val="22"/>
        </w:rPr>
        <w:t xml:space="preserve"> World Health Organisation, 2015, </w:t>
      </w:r>
      <w:r w:rsidRPr="00CB79C2">
        <w:rPr>
          <w:rFonts w:ascii="Gill Sans MT" w:hAnsi="Gill Sans MT" w:cs="Arial"/>
          <w:i/>
          <w:sz w:val="22"/>
          <w:szCs w:val="22"/>
        </w:rPr>
        <w:t>Guideline on when to start antiretroviral therapy and on pre-exposure prophylaxis for HIV</w:t>
      </w:r>
      <w:r w:rsidRPr="00CB79C2">
        <w:rPr>
          <w:rFonts w:ascii="Gill Sans MT" w:hAnsi="Gill Sans MT" w:cs="Arial"/>
          <w:sz w:val="22"/>
          <w:szCs w:val="22"/>
        </w:rPr>
        <w:t xml:space="preserve">, WHO Press, Geneva. Available from </w:t>
      </w:r>
    </w:p>
    <w:p w:rsidR="00F2210D" w:rsidRPr="00CB79C2" w:rsidRDefault="00635B39" w:rsidP="00CB79C2">
      <w:pPr>
        <w:pStyle w:val="DHHSbody"/>
        <w:spacing w:after="140" w:line="300" w:lineRule="atLeast"/>
        <w:rPr>
          <w:rFonts w:ascii="Gill Sans MT" w:hAnsi="Gill Sans MT" w:cs="Arial"/>
          <w:sz w:val="22"/>
          <w:szCs w:val="22"/>
        </w:rPr>
      </w:pPr>
      <w:hyperlink r:id="rId18" w:history="1">
        <w:r w:rsidR="007A22C7" w:rsidRPr="00CB79C2">
          <w:rPr>
            <w:rStyle w:val="Hyperlink"/>
            <w:rFonts w:ascii="Gill Sans MT" w:hAnsi="Gill Sans MT" w:cs="Arial"/>
            <w:sz w:val="22"/>
            <w:szCs w:val="22"/>
          </w:rPr>
          <w:t>www.who.int/hiv/pub/guidelines/earlyrelease-arv/en/</w:t>
        </w:r>
      </w:hyperlink>
    </w:p>
  </w:endnote>
  <w:endnote w:id="18">
    <w:p w:rsidR="00F2210D" w:rsidRPr="00CB79C2" w:rsidRDefault="00F2210D" w:rsidP="00CB79C2">
      <w:pPr>
        <w:pStyle w:val="DHHSbody"/>
        <w:spacing w:after="140" w:line="300" w:lineRule="atLeast"/>
        <w:rPr>
          <w:rFonts w:ascii="Gill Sans MT" w:hAnsi="Gill Sans MT" w:cs="Arial"/>
          <w:bCs/>
          <w:sz w:val="22"/>
          <w:szCs w:val="22"/>
        </w:rPr>
      </w:pPr>
      <w:r w:rsidRPr="00CB79C2">
        <w:rPr>
          <w:rStyle w:val="EndnoteReference"/>
          <w:rFonts w:ascii="Gill Sans MT" w:hAnsi="Gill Sans MT" w:cs="Arial"/>
          <w:sz w:val="22"/>
          <w:szCs w:val="22"/>
        </w:rPr>
        <w:endnoteRef/>
      </w:r>
      <w:r w:rsidRPr="00CB79C2">
        <w:rPr>
          <w:rFonts w:ascii="Gill Sans MT" w:hAnsi="Gill Sans MT" w:cs="Arial"/>
          <w:sz w:val="22"/>
          <w:szCs w:val="22"/>
        </w:rPr>
        <w:t xml:space="preserve"> Gilead Sciences, 2014, </w:t>
      </w:r>
      <w:r w:rsidRPr="00CB79C2">
        <w:rPr>
          <w:rFonts w:ascii="Gill Sans MT" w:hAnsi="Gill Sans MT" w:cs="Arial"/>
          <w:bCs/>
          <w:i/>
          <w:sz w:val="22"/>
          <w:szCs w:val="22"/>
        </w:rPr>
        <w:t xml:space="preserve">Important Safety Information About </w:t>
      </w:r>
      <w:proofErr w:type="spellStart"/>
      <w:r w:rsidRPr="00CB79C2">
        <w:rPr>
          <w:rFonts w:ascii="Gill Sans MT" w:hAnsi="Gill Sans MT" w:cs="Arial"/>
          <w:bCs/>
          <w:i/>
          <w:sz w:val="22"/>
          <w:szCs w:val="22"/>
        </w:rPr>
        <w:t>Truvada</w:t>
      </w:r>
      <w:proofErr w:type="spellEnd"/>
      <w:r w:rsidRPr="00CB79C2">
        <w:rPr>
          <w:rFonts w:ascii="Gill Sans MT" w:hAnsi="Gill Sans MT" w:cs="Arial"/>
          <w:bCs/>
          <w:i/>
          <w:sz w:val="22"/>
          <w:szCs w:val="22"/>
        </w:rPr>
        <w:t xml:space="preserve"> to Reduce the Risk of Getting Human Immunodeficiency Virus–1 (HIV-1) Infection, </w:t>
      </w:r>
      <w:r w:rsidRPr="00CB79C2">
        <w:rPr>
          <w:rFonts w:ascii="Gill Sans MT" w:hAnsi="Gill Sans MT" w:cs="Arial"/>
          <w:sz w:val="22"/>
          <w:szCs w:val="22"/>
        </w:rPr>
        <w:t>Available from</w:t>
      </w:r>
    </w:p>
    <w:p w:rsidR="00F2210D" w:rsidRPr="00E65362" w:rsidRDefault="00635B39" w:rsidP="00CB79C2">
      <w:pPr>
        <w:pStyle w:val="DHHSbody"/>
        <w:spacing w:after="140" w:line="300" w:lineRule="atLeast"/>
        <w:rPr>
          <w:rFonts w:cs="Arial"/>
        </w:rPr>
      </w:pPr>
      <w:hyperlink r:id="rId19" w:history="1">
        <w:r w:rsidR="007A22C7" w:rsidRPr="00CB79C2">
          <w:rPr>
            <w:rStyle w:val="Hyperlink"/>
            <w:rFonts w:ascii="Gill Sans MT" w:hAnsi="Gill Sans MT" w:cs="Arial"/>
            <w:sz w:val="22"/>
            <w:szCs w:val="22"/>
          </w:rPr>
          <w:t>www.truvadapreprems.com/truvadaprep-safety-profile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275A5F">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F06F2" w:rsidP="00177D33">
    <w:pPr>
      <w:pStyle w:val="Footer"/>
      <w:spacing w:after="336"/>
      <w:jc w:val="right"/>
    </w:pPr>
    <w:r>
      <w:fldChar w:fldCharType="begin"/>
    </w:r>
    <w:r>
      <w:instrText xml:space="preserve"> PAGE   \* MERGEFORMAT </w:instrText>
    </w:r>
    <w:r>
      <w:fldChar w:fldCharType="separate"/>
    </w:r>
    <w:r w:rsidR="003763C3">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275A5F">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B39" w:rsidRDefault="00635B39" w:rsidP="00590171">
      <w:pPr>
        <w:spacing w:after="336" w:line="240" w:lineRule="auto"/>
      </w:pPr>
      <w:r>
        <w:separator/>
      </w:r>
    </w:p>
  </w:footnote>
  <w:footnote w:type="continuationSeparator" w:id="0">
    <w:p w:rsidR="00635B39" w:rsidRDefault="00635B39"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275A5F">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275A5F">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590171">
    <w:pPr>
      <w:pStyle w:val="Header"/>
      <w:spacing w:after="336"/>
    </w:pPr>
    <w:r>
      <w:rPr>
        <w:noProof/>
        <w:lang w:eastAsia="en-AU"/>
      </w:rPr>
      <w:drawing>
        <wp:anchor distT="0" distB="0" distL="114300" distR="114300" simplePos="0" relativeHeight="251664384" behindDoc="1" locked="0" layoutInCell="1" allowOverlap="1" wp14:anchorId="7D63C661" wp14:editId="77BE612F">
          <wp:simplePos x="0" y="0"/>
          <wp:positionH relativeFrom="page">
            <wp:align>center</wp:align>
          </wp:positionH>
          <wp:positionV relativeFrom="page">
            <wp:align>top</wp:align>
          </wp:positionV>
          <wp:extent cx="7563469" cy="10695600"/>
          <wp:effectExtent l="0" t="0" r="0" b="0"/>
          <wp:wrapNone/>
          <wp:docPr id="2" name="Picture 2" descr="Documant title: Tasmanian guidance on pre-exposure prophlyaxis (PrEP)" title="Department of Health and Human Servic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1">
                    <a:extLst>
                      <a:ext uri="{28A0092B-C50C-407E-A947-70E740481C1C}">
                        <a14:useLocalDpi xmlns:a14="http://schemas.microsoft.com/office/drawing/2010/main" val="0"/>
                      </a:ext>
                    </a:extLst>
                  </a:blip>
                  <a:stretch>
                    <a:fillRect/>
                  </a:stretch>
                </pic:blipFill>
                <pic:spPr>
                  <a:xfrm>
                    <a:off x="0" y="0"/>
                    <a:ext cx="7563469" cy="10695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10D" w:rsidRDefault="00F2210D"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4A5D"/>
    <w:multiLevelType w:val="multilevel"/>
    <w:tmpl w:val="2C922D76"/>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Arial" w:hAnsi="Arial" w:cs="Arial" w:hint="default"/>
        <w:sz w:val="22"/>
        <w:szCs w:val="22"/>
        <w:vertAlign w:val="baseline"/>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2CF3114E"/>
    <w:multiLevelType w:val="hybridMultilevel"/>
    <w:tmpl w:val="0434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8A55ED5"/>
    <w:multiLevelType w:val="multilevel"/>
    <w:tmpl w:val="A3626682"/>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Arial" w:hAnsi="Arial" w:cs="Arial" w:hint="default"/>
        <w:sz w:val="22"/>
        <w:szCs w:val="22"/>
        <w:vertAlign w:val="baseline"/>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3C4303A5"/>
    <w:multiLevelType w:val="multilevel"/>
    <w:tmpl w:val="4A7C091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3FD51C86"/>
    <w:multiLevelType w:val="multilevel"/>
    <w:tmpl w:val="54F6B13A"/>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Arial" w:hAnsi="Arial" w:cs="Arial" w:hint="default"/>
        <w:sz w:val="22"/>
        <w:szCs w:val="22"/>
        <w:vertAlign w:val="baseline"/>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nsid w:val="49C259E7"/>
    <w:multiLevelType w:val="hybridMultilevel"/>
    <w:tmpl w:val="5E6E1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4BA1E5A"/>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5F2259FE"/>
    <w:multiLevelType w:val="multilevel"/>
    <w:tmpl w:val="5DBC660C"/>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Arial" w:hAnsi="Arial" w:cs="Arial" w:hint="default"/>
        <w:sz w:val="22"/>
        <w:szCs w:val="22"/>
        <w:vertAlign w:val="baseline"/>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6"/>
  </w:num>
  <w:num w:numId="2">
    <w:abstractNumId w:val="3"/>
    <w:lvlOverride w:ilvl="0">
      <w:lvl w:ilvl="0">
        <w:start w:val="1"/>
        <w:numFmt w:val="decimal"/>
        <w:pStyle w:val="DHHSnumberdigit"/>
        <w:lvlText w:val="%1."/>
        <w:lvlJc w:val="left"/>
        <w:pPr>
          <w:tabs>
            <w:tab w:val="num" w:pos="397"/>
          </w:tabs>
          <w:ind w:left="397" w:hanging="397"/>
        </w:pPr>
        <w:rPr>
          <w:rFonts w:hint="default"/>
          <w:b w:val="0"/>
        </w:rPr>
      </w:lvl>
    </w:lvlOverride>
  </w:num>
  <w:num w:numId="3">
    <w:abstractNumId w:val="4"/>
  </w:num>
  <w:num w:numId="4">
    <w:abstractNumId w:val="5"/>
  </w:num>
  <w:num w:numId="5">
    <w:abstractNumId w:val="2"/>
  </w:num>
  <w:num w:numId="6">
    <w:abstractNumId w:val="1"/>
  </w:num>
  <w:num w:numId="7">
    <w:abstractNumId w:val="0"/>
  </w:num>
  <w:num w:numId="8">
    <w:abstractNumId w:val="7"/>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CEE"/>
    <w:rsid w:val="000C3212"/>
    <w:rsid w:val="00121CE5"/>
    <w:rsid w:val="00177D33"/>
    <w:rsid w:val="00180CEE"/>
    <w:rsid w:val="001C6E33"/>
    <w:rsid w:val="001F2187"/>
    <w:rsid w:val="00246D75"/>
    <w:rsid w:val="002746BC"/>
    <w:rsid w:val="00275A5F"/>
    <w:rsid w:val="002E3B74"/>
    <w:rsid w:val="002F3599"/>
    <w:rsid w:val="00335F48"/>
    <w:rsid w:val="00362C24"/>
    <w:rsid w:val="003763C3"/>
    <w:rsid w:val="003A7A3F"/>
    <w:rsid w:val="003B7A9A"/>
    <w:rsid w:val="003D64A9"/>
    <w:rsid w:val="00465820"/>
    <w:rsid w:val="004F3ED9"/>
    <w:rsid w:val="00507E6D"/>
    <w:rsid w:val="00590171"/>
    <w:rsid w:val="005F0E43"/>
    <w:rsid w:val="00635B39"/>
    <w:rsid w:val="00660D90"/>
    <w:rsid w:val="006A1590"/>
    <w:rsid w:val="006B0C64"/>
    <w:rsid w:val="00721D8A"/>
    <w:rsid w:val="0079445E"/>
    <w:rsid w:val="007A22C7"/>
    <w:rsid w:val="007D2320"/>
    <w:rsid w:val="008B71AD"/>
    <w:rsid w:val="009650CD"/>
    <w:rsid w:val="00996ADB"/>
    <w:rsid w:val="009C2216"/>
    <w:rsid w:val="00A16A1C"/>
    <w:rsid w:val="00AD1D43"/>
    <w:rsid w:val="00AE0838"/>
    <w:rsid w:val="00B46504"/>
    <w:rsid w:val="00B54C33"/>
    <w:rsid w:val="00B72A57"/>
    <w:rsid w:val="00B74BF0"/>
    <w:rsid w:val="00B808F6"/>
    <w:rsid w:val="00B84EE7"/>
    <w:rsid w:val="00BA0549"/>
    <w:rsid w:val="00BF2E9A"/>
    <w:rsid w:val="00C132B1"/>
    <w:rsid w:val="00C30FE9"/>
    <w:rsid w:val="00C96ED9"/>
    <w:rsid w:val="00CB79C2"/>
    <w:rsid w:val="00D376D6"/>
    <w:rsid w:val="00D57794"/>
    <w:rsid w:val="00DC3623"/>
    <w:rsid w:val="00EA1CCF"/>
    <w:rsid w:val="00EB102A"/>
    <w:rsid w:val="00F2210D"/>
    <w:rsid w:val="00FF06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next w:val="DHHSbody"/>
    <w:link w:val="Heading1Char"/>
    <w:uiPriority w:val="1"/>
    <w:qFormat/>
    <w:rsid w:val="00180CEE"/>
    <w:pPr>
      <w:keepNext/>
      <w:keepLines/>
      <w:spacing w:before="480" w:after="320" w:line="440" w:lineRule="atLeast"/>
      <w:outlineLvl w:val="0"/>
    </w:pPr>
    <w:rPr>
      <w:rFonts w:ascii="Arial" w:eastAsia="Times New Roman" w:hAnsi="Arial" w:cs="Times New Roman"/>
      <w:bCs/>
      <w:color w:val="004EA8"/>
      <w:sz w:val="44"/>
      <w:szCs w:val="44"/>
    </w:rPr>
  </w:style>
  <w:style w:type="paragraph" w:styleId="Heading2">
    <w:name w:val="heading 2"/>
    <w:next w:val="DHHSbody"/>
    <w:link w:val="Heading2Char"/>
    <w:uiPriority w:val="1"/>
    <w:qFormat/>
    <w:rsid w:val="00180CEE"/>
    <w:pPr>
      <w:keepNext/>
      <w:keepLines/>
      <w:spacing w:before="240" w:after="90" w:line="320" w:lineRule="atLeast"/>
      <w:outlineLvl w:val="1"/>
    </w:pPr>
    <w:rPr>
      <w:rFonts w:ascii="Arial" w:eastAsia="Times New Roman" w:hAnsi="Arial" w:cs="Times New Roman"/>
      <w:b/>
      <w:color w:val="004EA8"/>
      <w:sz w:val="28"/>
      <w:szCs w:val="28"/>
    </w:rPr>
  </w:style>
  <w:style w:type="paragraph" w:styleId="Heading3">
    <w:name w:val="heading 3"/>
    <w:next w:val="DHHSbody"/>
    <w:link w:val="Heading3Char"/>
    <w:uiPriority w:val="1"/>
    <w:qFormat/>
    <w:rsid w:val="00180CEE"/>
    <w:pPr>
      <w:keepNext/>
      <w:keepLines/>
      <w:spacing w:before="280" w:after="120" w:line="280" w:lineRule="atLeast"/>
      <w:outlineLvl w:val="2"/>
    </w:pPr>
    <w:rPr>
      <w:rFonts w:ascii="Arial" w:eastAsia="MS Gothic" w:hAnsi="Arial" w:cs="Times New Roman"/>
      <w:b/>
      <w:bCs/>
      <w:sz w:val="24"/>
      <w:szCs w:val="26"/>
    </w:rPr>
  </w:style>
  <w:style w:type="paragraph" w:styleId="Heading4">
    <w:name w:val="heading 4"/>
    <w:next w:val="DHHSbody"/>
    <w:link w:val="Heading4Char"/>
    <w:uiPriority w:val="1"/>
    <w:qFormat/>
    <w:rsid w:val="00180CEE"/>
    <w:pPr>
      <w:keepNext/>
      <w:keepLines/>
      <w:spacing w:before="240" w:after="120" w:line="240" w:lineRule="atLeast"/>
      <w:outlineLvl w:val="3"/>
    </w:pPr>
    <w:rPr>
      <w:rFonts w:ascii="Arial" w:eastAsia="MS Mincho" w:hAnsi="Arial" w:cs="Times New Roman"/>
      <w:b/>
      <w:bCs/>
      <w:sz w:val="20"/>
      <w:szCs w:val="20"/>
    </w:rPr>
  </w:style>
  <w:style w:type="paragraph" w:styleId="Heading5">
    <w:name w:val="heading 5"/>
    <w:next w:val="DHHSbody"/>
    <w:link w:val="Heading5Char"/>
    <w:uiPriority w:val="9"/>
    <w:qFormat/>
    <w:rsid w:val="00180CEE"/>
    <w:pPr>
      <w:keepNext/>
      <w:keepLines/>
      <w:suppressAutoHyphens/>
      <w:spacing w:before="240" w:after="120" w:line="240" w:lineRule="atLeast"/>
      <w:outlineLvl w:val="4"/>
    </w:pPr>
    <w:rPr>
      <w:rFonts w:ascii="Arial" w:eastAsia="MS Mincho" w:hAnsi="Arial" w:cs="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uiPriority w:val="1"/>
    <w:rsid w:val="00180CEE"/>
    <w:rPr>
      <w:rFonts w:ascii="Arial" w:eastAsia="Times New Roman" w:hAnsi="Arial" w:cs="Times New Roman"/>
      <w:bCs/>
      <w:color w:val="004EA8"/>
      <w:sz w:val="44"/>
      <w:szCs w:val="44"/>
    </w:rPr>
  </w:style>
  <w:style w:type="character" w:customStyle="1" w:styleId="Heading2Char">
    <w:name w:val="Heading 2 Char"/>
    <w:basedOn w:val="DefaultParagraphFont"/>
    <w:link w:val="Heading2"/>
    <w:uiPriority w:val="1"/>
    <w:rsid w:val="00180CEE"/>
    <w:rPr>
      <w:rFonts w:ascii="Arial" w:eastAsia="Times New Roman" w:hAnsi="Arial" w:cs="Times New Roman"/>
      <w:b/>
      <w:color w:val="004EA8"/>
      <w:sz w:val="28"/>
      <w:szCs w:val="28"/>
    </w:rPr>
  </w:style>
  <w:style w:type="character" w:customStyle="1" w:styleId="Heading3Char">
    <w:name w:val="Heading 3 Char"/>
    <w:basedOn w:val="DefaultParagraphFont"/>
    <w:link w:val="Heading3"/>
    <w:uiPriority w:val="1"/>
    <w:rsid w:val="00180CEE"/>
    <w:rPr>
      <w:rFonts w:ascii="Arial" w:eastAsia="MS Gothic" w:hAnsi="Arial" w:cs="Times New Roman"/>
      <w:b/>
      <w:bCs/>
      <w:sz w:val="24"/>
      <w:szCs w:val="26"/>
    </w:rPr>
  </w:style>
  <w:style w:type="character" w:customStyle="1" w:styleId="Heading4Char">
    <w:name w:val="Heading 4 Char"/>
    <w:basedOn w:val="DefaultParagraphFont"/>
    <w:link w:val="Heading4"/>
    <w:uiPriority w:val="1"/>
    <w:rsid w:val="00180CEE"/>
    <w:rPr>
      <w:rFonts w:ascii="Arial" w:eastAsia="MS Mincho" w:hAnsi="Arial" w:cs="Times New Roman"/>
      <w:b/>
      <w:bCs/>
      <w:sz w:val="20"/>
      <w:szCs w:val="20"/>
    </w:rPr>
  </w:style>
  <w:style w:type="character" w:customStyle="1" w:styleId="Heading5Char">
    <w:name w:val="Heading 5 Char"/>
    <w:basedOn w:val="DefaultParagraphFont"/>
    <w:link w:val="Heading5"/>
    <w:uiPriority w:val="9"/>
    <w:rsid w:val="00180CEE"/>
    <w:rPr>
      <w:rFonts w:ascii="Arial" w:eastAsia="MS Mincho" w:hAnsi="Arial" w:cs="Times New Roman"/>
      <w:b/>
      <w:bCs/>
      <w:i/>
      <w:sz w:val="20"/>
      <w:szCs w:val="20"/>
    </w:rPr>
  </w:style>
  <w:style w:type="character" w:styleId="FollowedHyperlink">
    <w:name w:val="FollowedHyperlink"/>
    <w:uiPriority w:val="99"/>
    <w:rsid w:val="00180CEE"/>
    <w:rPr>
      <w:color w:val="6633CC"/>
      <w:u w:val="dotted"/>
    </w:rPr>
  </w:style>
  <w:style w:type="paragraph" w:customStyle="1" w:styleId="DHHStabletext6pt">
    <w:name w:val="DHHS table text + 6pt"/>
    <w:basedOn w:val="DHHStabletext"/>
    <w:rsid w:val="00180CEE"/>
    <w:pPr>
      <w:spacing w:after="120"/>
    </w:pPr>
  </w:style>
  <w:style w:type="paragraph" w:styleId="Subtitle">
    <w:name w:val="Subtitle"/>
    <w:basedOn w:val="Normal"/>
    <w:next w:val="Normal"/>
    <w:link w:val="SubtitleChar"/>
    <w:uiPriority w:val="11"/>
    <w:qFormat/>
    <w:rsid w:val="00180CEE"/>
    <w:pPr>
      <w:spacing w:after="60" w:line="240" w:lineRule="auto"/>
      <w:jc w:val="center"/>
    </w:pPr>
    <w:rPr>
      <w:rFonts w:ascii="Calibri Light" w:eastAsia="Times New Roman" w:hAnsi="Calibri Light" w:cs="Times New Roman"/>
      <w:sz w:val="24"/>
      <w:szCs w:val="24"/>
    </w:rPr>
  </w:style>
  <w:style w:type="character" w:customStyle="1" w:styleId="SubtitleChar">
    <w:name w:val="Subtitle Char"/>
    <w:basedOn w:val="DefaultParagraphFont"/>
    <w:link w:val="Subtitle"/>
    <w:uiPriority w:val="11"/>
    <w:rsid w:val="00180CEE"/>
    <w:rPr>
      <w:rFonts w:ascii="Calibri Light" w:eastAsia="Times New Roman" w:hAnsi="Calibri Light" w:cs="Times New Roman"/>
      <w:sz w:val="24"/>
      <w:szCs w:val="24"/>
    </w:rPr>
  </w:style>
  <w:style w:type="paragraph" w:styleId="EndnoteText">
    <w:name w:val="endnote text"/>
    <w:basedOn w:val="Normal"/>
    <w:link w:val="EndnoteTextChar"/>
    <w:semiHidden/>
    <w:rsid w:val="00180CEE"/>
    <w:pPr>
      <w:spacing w:after="0" w:line="240" w:lineRule="auto"/>
    </w:pPr>
    <w:rPr>
      <w:rFonts w:ascii="Cambria" w:eastAsia="Times New Roman" w:hAnsi="Cambria" w:cs="Times New Roman"/>
      <w:sz w:val="24"/>
      <w:szCs w:val="24"/>
    </w:rPr>
  </w:style>
  <w:style w:type="character" w:customStyle="1" w:styleId="EndnoteTextChar">
    <w:name w:val="Endnote Text Char"/>
    <w:basedOn w:val="DefaultParagraphFont"/>
    <w:link w:val="EndnoteText"/>
    <w:semiHidden/>
    <w:rsid w:val="00180CEE"/>
    <w:rPr>
      <w:rFonts w:ascii="Cambria" w:eastAsia="Times New Roman" w:hAnsi="Cambria" w:cs="Times New Roman"/>
      <w:sz w:val="24"/>
      <w:szCs w:val="24"/>
    </w:rPr>
  </w:style>
  <w:style w:type="character" w:styleId="EndnoteReference">
    <w:name w:val="endnote reference"/>
    <w:semiHidden/>
    <w:rsid w:val="00180CEE"/>
    <w:rPr>
      <w:rFonts w:ascii="Arial" w:hAnsi="Arial"/>
      <w:sz w:val="20"/>
      <w:vertAlign w:val="superscript"/>
    </w:rPr>
  </w:style>
  <w:style w:type="table" w:styleId="TableGrid">
    <w:name w:val="Table Grid"/>
    <w:basedOn w:val="TableNormal"/>
    <w:rsid w:val="00180CEE"/>
    <w:pPr>
      <w:spacing w:after="0" w:line="240" w:lineRule="auto"/>
    </w:pPr>
    <w:rPr>
      <w:rFonts w:ascii="Arial" w:eastAsia="Times New Roman" w:hAnsi="Arial"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180CEE"/>
  </w:style>
  <w:style w:type="paragraph" w:customStyle="1" w:styleId="DHHSreportsubtitle">
    <w:name w:val="DHHS report subtitle"/>
    <w:basedOn w:val="Normal"/>
    <w:uiPriority w:val="4"/>
    <w:rsid w:val="00180CEE"/>
    <w:pPr>
      <w:spacing w:after="120" w:line="380" w:lineRule="atLeast"/>
    </w:pPr>
    <w:rPr>
      <w:rFonts w:ascii="Arial" w:eastAsia="Times New Roman" w:hAnsi="Arial" w:cs="Times New Roman"/>
      <w:color w:val="000000"/>
      <w:sz w:val="30"/>
      <w:szCs w:val="30"/>
    </w:rPr>
  </w:style>
  <w:style w:type="character" w:styleId="FootnoteReference">
    <w:name w:val="footnote reference"/>
    <w:rsid w:val="00180CEE"/>
    <w:rPr>
      <w:vertAlign w:val="superscript"/>
    </w:rPr>
  </w:style>
  <w:style w:type="paragraph" w:customStyle="1" w:styleId="DHHSreportmaintitle">
    <w:name w:val="DHHS report main title"/>
    <w:uiPriority w:val="4"/>
    <w:rsid w:val="00180CEE"/>
    <w:pPr>
      <w:keepLines/>
      <w:spacing w:after="240" w:line="580" w:lineRule="atLeast"/>
    </w:pPr>
    <w:rPr>
      <w:rFonts w:ascii="Arial" w:eastAsia="Times New Roman" w:hAnsi="Arial" w:cs="Times New Roman"/>
      <w:color w:val="004EA8"/>
      <w:sz w:val="50"/>
      <w:szCs w:val="24"/>
    </w:rPr>
  </w:style>
  <w:style w:type="paragraph" w:styleId="FootnoteText">
    <w:name w:val="footnote text"/>
    <w:basedOn w:val="Normal"/>
    <w:link w:val="FootnoteTextChar"/>
    <w:uiPriority w:val="8"/>
    <w:rsid w:val="00180CEE"/>
    <w:pPr>
      <w:spacing w:before="60" w:after="60" w:line="200" w:lineRule="atLeast"/>
    </w:pPr>
    <w:rPr>
      <w:rFonts w:ascii="Arial" w:eastAsia="MS Gothic" w:hAnsi="Arial" w:cs="Arial"/>
      <w:sz w:val="16"/>
      <w:szCs w:val="16"/>
    </w:rPr>
  </w:style>
  <w:style w:type="character" w:customStyle="1" w:styleId="FootnoteTextChar">
    <w:name w:val="Footnote Text Char"/>
    <w:basedOn w:val="DefaultParagraphFont"/>
    <w:link w:val="FootnoteText"/>
    <w:uiPriority w:val="8"/>
    <w:rsid w:val="00180CEE"/>
    <w:rPr>
      <w:rFonts w:ascii="Arial" w:eastAsia="MS Gothic" w:hAnsi="Arial" w:cs="Arial"/>
      <w:sz w:val="16"/>
      <w:szCs w:val="16"/>
    </w:rPr>
  </w:style>
  <w:style w:type="paragraph" w:styleId="TOC1">
    <w:name w:val="toc 1"/>
    <w:basedOn w:val="Normal"/>
    <w:next w:val="Normal"/>
    <w:uiPriority w:val="39"/>
    <w:rsid w:val="00180CEE"/>
    <w:pPr>
      <w:keepNext/>
      <w:keepLines/>
      <w:tabs>
        <w:tab w:val="right" w:leader="dot" w:pos="9299"/>
      </w:tabs>
      <w:spacing w:before="160" w:after="60" w:line="270" w:lineRule="atLeast"/>
      <w:ind w:right="680"/>
    </w:pPr>
    <w:rPr>
      <w:rFonts w:ascii="Arial" w:eastAsia="Times New Roman" w:hAnsi="Arial" w:cs="Times New Roman"/>
      <w:b/>
      <w:noProof/>
      <w:sz w:val="20"/>
      <w:szCs w:val="20"/>
    </w:rPr>
  </w:style>
  <w:style w:type="paragraph" w:styleId="TOC2">
    <w:name w:val="toc 2"/>
    <w:basedOn w:val="Normal"/>
    <w:next w:val="Normal"/>
    <w:uiPriority w:val="39"/>
    <w:rsid w:val="00180CEE"/>
    <w:pPr>
      <w:keepNext/>
      <w:keepLines/>
      <w:tabs>
        <w:tab w:val="right" w:leader="dot" w:pos="9299"/>
      </w:tabs>
      <w:spacing w:after="60" w:line="270" w:lineRule="atLeast"/>
      <w:ind w:right="680"/>
    </w:pPr>
    <w:rPr>
      <w:rFonts w:ascii="Arial" w:eastAsia="Times New Roman" w:hAnsi="Arial" w:cs="Times New Roman"/>
      <w:noProof/>
      <w:sz w:val="20"/>
      <w:szCs w:val="20"/>
    </w:rPr>
  </w:style>
  <w:style w:type="paragraph" w:styleId="TOC3">
    <w:name w:val="toc 3"/>
    <w:basedOn w:val="Normal"/>
    <w:next w:val="Normal"/>
    <w:uiPriority w:val="39"/>
    <w:rsid w:val="00180CEE"/>
    <w:pPr>
      <w:keepLines/>
      <w:tabs>
        <w:tab w:val="right" w:leader="dot" w:pos="9299"/>
      </w:tabs>
      <w:spacing w:after="60" w:line="270" w:lineRule="atLeast"/>
      <w:ind w:left="284" w:right="680"/>
    </w:pPr>
    <w:rPr>
      <w:rFonts w:ascii="Arial" w:eastAsia="Times New Roman" w:hAnsi="Arial" w:cs="Arial"/>
      <w:sz w:val="20"/>
      <w:szCs w:val="20"/>
    </w:rPr>
  </w:style>
  <w:style w:type="paragraph" w:styleId="TOC4">
    <w:name w:val="toc 4"/>
    <w:basedOn w:val="Normal"/>
    <w:next w:val="Normal"/>
    <w:uiPriority w:val="39"/>
    <w:rsid w:val="00180CEE"/>
    <w:pPr>
      <w:keepLines/>
      <w:tabs>
        <w:tab w:val="right" w:leader="dot" w:pos="9299"/>
      </w:tabs>
      <w:spacing w:after="60" w:line="270" w:lineRule="atLeast"/>
      <w:ind w:left="567" w:right="680"/>
    </w:pPr>
    <w:rPr>
      <w:rFonts w:ascii="Arial" w:eastAsia="Times New Roman" w:hAnsi="Arial" w:cs="Arial"/>
      <w:sz w:val="20"/>
      <w:szCs w:val="20"/>
    </w:rPr>
  </w:style>
  <w:style w:type="paragraph" w:styleId="TOC5">
    <w:name w:val="toc 5"/>
    <w:basedOn w:val="Normal"/>
    <w:next w:val="Normal"/>
    <w:autoRedefine/>
    <w:semiHidden/>
    <w:rsid w:val="00180CEE"/>
    <w:pPr>
      <w:spacing w:after="0" w:line="240" w:lineRule="auto"/>
      <w:ind w:left="800"/>
    </w:pPr>
    <w:rPr>
      <w:rFonts w:ascii="Cambria" w:eastAsia="Times New Roman" w:hAnsi="Cambria" w:cs="Times New Roman"/>
      <w:sz w:val="20"/>
      <w:szCs w:val="20"/>
    </w:rPr>
  </w:style>
  <w:style w:type="paragraph" w:styleId="TOC6">
    <w:name w:val="toc 6"/>
    <w:basedOn w:val="Normal"/>
    <w:next w:val="Normal"/>
    <w:autoRedefine/>
    <w:semiHidden/>
    <w:rsid w:val="00180CEE"/>
    <w:pPr>
      <w:spacing w:after="0" w:line="240" w:lineRule="auto"/>
      <w:ind w:left="1000"/>
    </w:pPr>
    <w:rPr>
      <w:rFonts w:ascii="Cambria" w:eastAsia="Times New Roman" w:hAnsi="Cambria" w:cs="Times New Roman"/>
      <w:sz w:val="20"/>
      <w:szCs w:val="20"/>
    </w:rPr>
  </w:style>
  <w:style w:type="paragraph" w:styleId="TOC7">
    <w:name w:val="toc 7"/>
    <w:basedOn w:val="Normal"/>
    <w:next w:val="Normal"/>
    <w:autoRedefine/>
    <w:semiHidden/>
    <w:rsid w:val="00180CEE"/>
    <w:pPr>
      <w:spacing w:after="0" w:line="240" w:lineRule="auto"/>
      <w:ind w:left="1200"/>
    </w:pPr>
    <w:rPr>
      <w:rFonts w:ascii="Cambria" w:eastAsia="Times New Roman" w:hAnsi="Cambria" w:cs="Times New Roman"/>
      <w:sz w:val="20"/>
      <w:szCs w:val="20"/>
    </w:rPr>
  </w:style>
  <w:style w:type="paragraph" w:styleId="TOC8">
    <w:name w:val="toc 8"/>
    <w:basedOn w:val="Normal"/>
    <w:next w:val="Normal"/>
    <w:autoRedefine/>
    <w:semiHidden/>
    <w:rsid w:val="00180CEE"/>
    <w:pPr>
      <w:spacing w:after="0" w:line="240" w:lineRule="auto"/>
      <w:ind w:left="1400"/>
    </w:pPr>
    <w:rPr>
      <w:rFonts w:ascii="Cambria" w:eastAsia="Times New Roman" w:hAnsi="Cambria" w:cs="Times New Roman"/>
      <w:sz w:val="20"/>
      <w:szCs w:val="20"/>
    </w:rPr>
  </w:style>
  <w:style w:type="paragraph" w:styleId="TOC9">
    <w:name w:val="toc 9"/>
    <w:basedOn w:val="Normal"/>
    <w:next w:val="Normal"/>
    <w:autoRedefine/>
    <w:semiHidden/>
    <w:rsid w:val="00180CEE"/>
    <w:pPr>
      <w:spacing w:after="0" w:line="240" w:lineRule="auto"/>
      <w:ind w:left="1600"/>
    </w:pPr>
    <w:rPr>
      <w:rFonts w:ascii="Cambria" w:eastAsia="Times New Roman" w:hAnsi="Cambria" w:cs="Times New Roman"/>
      <w:sz w:val="20"/>
      <w:szCs w:val="20"/>
    </w:rPr>
  </w:style>
  <w:style w:type="paragraph" w:customStyle="1" w:styleId="DHHSreportmaintitlewhite">
    <w:name w:val="DHHS report main title white"/>
    <w:uiPriority w:val="4"/>
    <w:rsid w:val="00180CEE"/>
    <w:pPr>
      <w:keepLines/>
      <w:spacing w:after="240" w:line="580" w:lineRule="atLeast"/>
    </w:pPr>
    <w:rPr>
      <w:rFonts w:ascii="Arial" w:eastAsia="Times New Roman" w:hAnsi="Arial" w:cs="Times New Roman"/>
      <w:bCs/>
      <w:color w:val="FFFFFF"/>
      <w:sz w:val="50"/>
      <w:szCs w:val="50"/>
    </w:rPr>
  </w:style>
  <w:style w:type="paragraph" w:customStyle="1" w:styleId="DHHSreportsubtitlewhite">
    <w:name w:val="DHHS report subtitle white"/>
    <w:uiPriority w:val="4"/>
    <w:rsid w:val="00180CEE"/>
    <w:pPr>
      <w:spacing w:after="120" w:line="380" w:lineRule="atLeast"/>
    </w:pPr>
    <w:rPr>
      <w:rFonts w:ascii="Arial" w:eastAsia="Times New Roman" w:hAnsi="Arial" w:cs="Times New Roman"/>
      <w:bCs/>
      <w:color w:val="FFFFFF"/>
      <w:sz w:val="30"/>
      <w:szCs w:val="30"/>
    </w:rPr>
  </w:style>
  <w:style w:type="paragraph" w:customStyle="1" w:styleId="Coverinstructions">
    <w:name w:val="Cover instructions"/>
    <w:rsid w:val="00180CEE"/>
    <w:pPr>
      <w:spacing w:after="200" w:line="320" w:lineRule="atLeast"/>
    </w:pPr>
    <w:rPr>
      <w:rFonts w:ascii="Arial" w:eastAsia="Times New Roman" w:hAnsi="Arial" w:cs="Times New Roman"/>
      <w:color w:val="FFFFFF"/>
      <w:sz w:val="24"/>
      <w:szCs w:val="20"/>
    </w:rPr>
  </w:style>
  <w:style w:type="paragraph" w:styleId="DocumentMap">
    <w:name w:val="Document Map"/>
    <w:basedOn w:val="Normal"/>
    <w:link w:val="DocumentMapChar"/>
    <w:uiPriority w:val="99"/>
    <w:semiHidden/>
    <w:unhideWhenUsed/>
    <w:rsid w:val="00180CEE"/>
    <w:pPr>
      <w:spacing w:after="0" w:line="240" w:lineRule="auto"/>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semiHidden/>
    <w:rsid w:val="00180CEE"/>
    <w:rPr>
      <w:rFonts w:ascii="Lucida Grande" w:eastAsia="Times New Roman" w:hAnsi="Lucida Grande" w:cs="Lucida Grande"/>
      <w:sz w:val="24"/>
      <w:szCs w:val="24"/>
    </w:rPr>
  </w:style>
  <w:style w:type="character" w:styleId="Hyperlink">
    <w:name w:val="Hyperlink"/>
    <w:uiPriority w:val="99"/>
    <w:rsid w:val="00180CEE"/>
    <w:rPr>
      <w:color w:val="3366FF"/>
      <w:u w:val="dotted"/>
    </w:rPr>
  </w:style>
  <w:style w:type="paragraph" w:customStyle="1" w:styleId="DHHSbody">
    <w:name w:val="DHHS body"/>
    <w:qFormat/>
    <w:rsid w:val="00180CEE"/>
    <w:pPr>
      <w:spacing w:after="120" w:line="270" w:lineRule="atLeast"/>
    </w:pPr>
    <w:rPr>
      <w:rFonts w:ascii="Arial" w:eastAsia="Times" w:hAnsi="Arial" w:cs="Times New Roman"/>
      <w:sz w:val="20"/>
      <w:szCs w:val="20"/>
    </w:rPr>
  </w:style>
  <w:style w:type="paragraph" w:customStyle="1" w:styleId="DHHSbullet1">
    <w:name w:val="DHHS bullet 1"/>
    <w:basedOn w:val="DHHSbody"/>
    <w:qFormat/>
    <w:rsid w:val="00180CEE"/>
    <w:pPr>
      <w:numPr>
        <w:numId w:val="3"/>
      </w:numPr>
      <w:spacing w:after="40"/>
    </w:pPr>
  </w:style>
  <w:style w:type="paragraph" w:customStyle="1" w:styleId="DHHSnumberloweralpha">
    <w:name w:val="DHHS number lower alpha"/>
    <w:basedOn w:val="DHHSbody"/>
    <w:uiPriority w:val="3"/>
    <w:rsid w:val="00180CEE"/>
    <w:pPr>
      <w:numPr>
        <w:ilvl w:val="2"/>
        <w:numId w:val="2"/>
      </w:numPr>
    </w:pPr>
  </w:style>
  <w:style w:type="paragraph" w:customStyle="1" w:styleId="DHHSnumberloweralphaindent">
    <w:name w:val="DHHS number lower alpha indent"/>
    <w:basedOn w:val="DHHSbody"/>
    <w:uiPriority w:val="3"/>
    <w:rsid w:val="00180CEE"/>
    <w:pPr>
      <w:numPr>
        <w:ilvl w:val="3"/>
        <w:numId w:val="2"/>
      </w:numPr>
    </w:pPr>
  </w:style>
  <w:style w:type="paragraph" w:customStyle="1" w:styleId="DHHStablefigurenote">
    <w:name w:val="DHHS table/figure note"/>
    <w:uiPriority w:val="4"/>
    <w:rsid w:val="00180CEE"/>
    <w:pPr>
      <w:spacing w:before="60" w:after="60" w:line="240" w:lineRule="exact"/>
    </w:pPr>
    <w:rPr>
      <w:rFonts w:ascii="Arial" w:eastAsia="Times New Roman" w:hAnsi="Arial" w:cs="Times New Roman"/>
      <w:i/>
      <w:sz w:val="18"/>
      <w:szCs w:val="20"/>
    </w:rPr>
  </w:style>
  <w:style w:type="paragraph" w:customStyle="1" w:styleId="DHHStabletext">
    <w:name w:val="DHHS table text"/>
    <w:uiPriority w:val="3"/>
    <w:qFormat/>
    <w:rsid w:val="00180CEE"/>
    <w:pPr>
      <w:spacing w:before="80" w:after="60" w:line="240" w:lineRule="auto"/>
    </w:pPr>
    <w:rPr>
      <w:rFonts w:ascii="Arial" w:eastAsia="Times New Roman" w:hAnsi="Arial" w:cs="Times New Roman"/>
      <w:sz w:val="20"/>
      <w:szCs w:val="20"/>
    </w:rPr>
  </w:style>
  <w:style w:type="paragraph" w:customStyle="1" w:styleId="DHHStablecaption">
    <w:name w:val="DHHS table caption"/>
    <w:next w:val="DHHSbody"/>
    <w:uiPriority w:val="3"/>
    <w:qFormat/>
    <w:rsid w:val="00180CEE"/>
    <w:pPr>
      <w:keepNext/>
      <w:keepLines/>
      <w:spacing w:before="240" w:after="120" w:line="240" w:lineRule="atLeast"/>
    </w:pPr>
    <w:rPr>
      <w:rFonts w:ascii="Arial" w:eastAsia="Times New Roman" w:hAnsi="Arial" w:cs="Times New Roman"/>
      <w:b/>
      <w:sz w:val="20"/>
      <w:szCs w:val="20"/>
    </w:rPr>
  </w:style>
  <w:style w:type="paragraph" w:customStyle="1" w:styleId="DHHSfigurecaption">
    <w:name w:val="DHHS figure caption"/>
    <w:next w:val="DHHSbody"/>
    <w:rsid w:val="00180CEE"/>
    <w:pPr>
      <w:keepNext/>
      <w:keepLines/>
      <w:spacing w:before="240" w:after="120" w:line="240" w:lineRule="auto"/>
    </w:pPr>
    <w:rPr>
      <w:rFonts w:ascii="Arial" w:eastAsia="Times New Roman" w:hAnsi="Arial" w:cs="Times New Roman"/>
      <w:b/>
      <w:sz w:val="20"/>
      <w:szCs w:val="20"/>
    </w:rPr>
  </w:style>
  <w:style w:type="paragraph" w:customStyle="1" w:styleId="DHHSfooter">
    <w:name w:val="DHHS footer"/>
    <w:uiPriority w:val="11"/>
    <w:rsid w:val="00180CEE"/>
    <w:pPr>
      <w:tabs>
        <w:tab w:val="right" w:pos="9299"/>
      </w:tabs>
      <w:spacing w:after="0" w:line="240" w:lineRule="auto"/>
    </w:pPr>
    <w:rPr>
      <w:rFonts w:ascii="Arial" w:eastAsia="Times New Roman" w:hAnsi="Arial" w:cs="Arial"/>
      <w:sz w:val="18"/>
      <w:szCs w:val="18"/>
    </w:rPr>
  </w:style>
  <w:style w:type="paragraph" w:customStyle="1" w:styleId="DHHSbullet2">
    <w:name w:val="DHHS bullet 2"/>
    <w:basedOn w:val="DHHSbody"/>
    <w:uiPriority w:val="2"/>
    <w:qFormat/>
    <w:rsid w:val="00180CEE"/>
    <w:pPr>
      <w:numPr>
        <w:ilvl w:val="2"/>
        <w:numId w:val="3"/>
      </w:numPr>
      <w:spacing w:after="40"/>
    </w:pPr>
  </w:style>
  <w:style w:type="paragraph" w:customStyle="1" w:styleId="DHHSheader">
    <w:name w:val="DHHS header"/>
    <w:basedOn w:val="DHHSfooter"/>
    <w:uiPriority w:val="11"/>
    <w:rsid w:val="00180CEE"/>
  </w:style>
  <w:style w:type="character" w:styleId="Strong">
    <w:name w:val="Strong"/>
    <w:uiPriority w:val="22"/>
    <w:qFormat/>
    <w:rsid w:val="00180CEE"/>
    <w:rPr>
      <w:b/>
      <w:bCs/>
    </w:rPr>
  </w:style>
  <w:style w:type="paragraph" w:customStyle="1" w:styleId="DHHSnumberdigit">
    <w:name w:val="DHHS number digit"/>
    <w:basedOn w:val="DHHSbody"/>
    <w:uiPriority w:val="2"/>
    <w:rsid w:val="00180CEE"/>
    <w:pPr>
      <w:numPr>
        <w:numId w:val="2"/>
      </w:numPr>
    </w:pPr>
  </w:style>
  <w:style w:type="paragraph" w:customStyle="1" w:styleId="DHHStablecolhead">
    <w:name w:val="DHHS table col head"/>
    <w:uiPriority w:val="3"/>
    <w:qFormat/>
    <w:rsid w:val="00180CEE"/>
    <w:pPr>
      <w:spacing w:before="80" w:after="60" w:line="240" w:lineRule="auto"/>
    </w:pPr>
    <w:rPr>
      <w:rFonts w:ascii="Arial" w:eastAsia="Times New Roman" w:hAnsi="Arial" w:cs="Times New Roman"/>
      <w:b/>
      <w:color w:val="FFFFFF"/>
      <w:sz w:val="20"/>
      <w:szCs w:val="20"/>
    </w:rPr>
  </w:style>
  <w:style w:type="paragraph" w:customStyle="1" w:styleId="DHHSbodyaftertablefigure">
    <w:name w:val="DHHS body after table/figure"/>
    <w:basedOn w:val="DHHSbody"/>
    <w:next w:val="DHHSbody"/>
    <w:rsid w:val="00180CEE"/>
    <w:pPr>
      <w:spacing w:before="240"/>
    </w:pPr>
  </w:style>
  <w:style w:type="paragraph" w:customStyle="1" w:styleId="DHHSbullet1lastline">
    <w:name w:val="DHHS bullet 1 last line"/>
    <w:basedOn w:val="DHHSbullet1"/>
    <w:qFormat/>
    <w:rsid w:val="00180CEE"/>
    <w:pPr>
      <w:numPr>
        <w:ilvl w:val="1"/>
      </w:numPr>
      <w:spacing w:after="120"/>
    </w:pPr>
  </w:style>
  <w:style w:type="paragraph" w:customStyle="1" w:styleId="DHHSbullet2lastline">
    <w:name w:val="DHHS bullet 2 last line"/>
    <w:basedOn w:val="DHHSbullet2"/>
    <w:uiPriority w:val="2"/>
    <w:qFormat/>
    <w:rsid w:val="00180CEE"/>
    <w:pPr>
      <w:numPr>
        <w:ilvl w:val="3"/>
      </w:numPr>
      <w:spacing w:after="120"/>
    </w:pPr>
  </w:style>
  <w:style w:type="paragraph" w:customStyle="1" w:styleId="DHHStablebullet">
    <w:name w:val="DHHS table bullet"/>
    <w:basedOn w:val="DHHStabletext"/>
    <w:uiPriority w:val="3"/>
    <w:qFormat/>
    <w:rsid w:val="00180CEE"/>
    <w:pPr>
      <w:numPr>
        <w:ilvl w:val="6"/>
        <w:numId w:val="3"/>
      </w:numPr>
    </w:pPr>
  </w:style>
  <w:style w:type="paragraph" w:customStyle="1" w:styleId="DHHSTOCheadingreport">
    <w:name w:val="DHHS TOC heading report"/>
    <w:basedOn w:val="Heading1"/>
    <w:link w:val="DHHSTOCheadingreportChar"/>
    <w:uiPriority w:val="5"/>
    <w:rsid w:val="00180CEE"/>
    <w:pPr>
      <w:spacing w:before="0"/>
      <w:outlineLvl w:val="9"/>
    </w:pPr>
  </w:style>
  <w:style w:type="character" w:customStyle="1" w:styleId="DHHSTOCheadingreportChar">
    <w:name w:val="DHHS TOC heading report Char"/>
    <w:link w:val="DHHSTOCheadingreport"/>
    <w:uiPriority w:val="5"/>
    <w:rsid w:val="00180CEE"/>
    <w:rPr>
      <w:rFonts w:ascii="Arial" w:eastAsia="Times New Roman" w:hAnsi="Arial" w:cs="Times New Roman"/>
      <w:bCs/>
      <w:color w:val="004EA8"/>
      <w:sz w:val="44"/>
      <w:szCs w:val="44"/>
    </w:rPr>
  </w:style>
  <w:style w:type="paragraph" w:customStyle="1" w:styleId="DHHSaccessibilitypara">
    <w:name w:val="DHHS accessibility para"/>
    <w:uiPriority w:val="8"/>
    <w:rsid w:val="00180CEE"/>
    <w:pPr>
      <w:spacing w:after="300"/>
    </w:pPr>
    <w:rPr>
      <w:rFonts w:ascii="Arial" w:eastAsia="Times" w:hAnsi="Arial" w:cs="Times New Roman"/>
      <w:sz w:val="24"/>
      <w:szCs w:val="19"/>
    </w:rPr>
  </w:style>
  <w:style w:type="paragraph" w:customStyle="1" w:styleId="DHHSbodynospace">
    <w:name w:val="DHHS body no space"/>
    <w:basedOn w:val="DHHSbody"/>
    <w:uiPriority w:val="3"/>
    <w:qFormat/>
    <w:rsid w:val="00180CEE"/>
    <w:pPr>
      <w:spacing w:after="0"/>
    </w:pPr>
  </w:style>
  <w:style w:type="paragraph" w:customStyle="1" w:styleId="DHHSquote">
    <w:name w:val="DHHS quote"/>
    <w:basedOn w:val="DHHSbody"/>
    <w:uiPriority w:val="4"/>
    <w:rsid w:val="00180CEE"/>
    <w:pPr>
      <w:ind w:left="397"/>
    </w:pPr>
    <w:rPr>
      <w:szCs w:val="18"/>
    </w:rPr>
  </w:style>
  <w:style w:type="numbering" w:customStyle="1" w:styleId="ZZBullets">
    <w:name w:val="ZZ Bullets"/>
    <w:rsid w:val="00180CEE"/>
    <w:pPr>
      <w:numPr>
        <w:numId w:val="1"/>
      </w:numPr>
    </w:pPr>
  </w:style>
  <w:style w:type="paragraph" w:customStyle="1" w:styleId="DHHSbulletindent">
    <w:name w:val="DHHS bullet indent"/>
    <w:basedOn w:val="DHHSbody"/>
    <w:uiPriority w:val="4"/>
    <w:rsid w:val="00180CEE"/>
    <w:pPr>
      <w:numPr>
        <w:ilvl w:val="4"/>
        <w:numId w:val="3"/>
      </w:numPr>
      <w:spacing w:after="40"/>
    </w:pPr>
  </w:style>
  <w:style w:type="paragraph" w:customStyle="1" w:styleId="DHHSbulletindentlastline">
    <w:name w:val="DHHS bullet indent last line"/>
    <w:basedOn w:val="DHHSbody"/>
    <w:uiPriority w:val="4"/>
    <w:rsid w:val="00180CEE"/>
    <w:pPr>
      <w:numPr>
        <w:ilvl w:val="5"/>
        <w:numId w:val="3"/>
      </w:numPr>
    </w:pPr>
  </w:style>
  <w:style w:type="numbering" w:customStyle="1" w:styleId="ZZNumbers">
    <w:name w:val="ZZ Numbers"/>
    <w:rsid w:val="00180CEE"/>
    <w:pPr>
      <w:numPr>
        <w:numId w:val="9"/>
      </w:numPr>
    </w:pPr>
  </w:style>
  <w:style w:type="paragraph" w:customStyle="1" w:styleId="DHHSnumberlowerroman">
    <w:name w:val="DHHS number lower roman"/>
    <w:basedOn w:val="DHHSbody"/>
    <w:uiPriority w:val="3"/>
    <w:rsid w:val="00180CEE"/>
    <w:pPr>
      <w:numPr>
        <w:ilvl w:val="4"/>
        <w:numId w:val="2"/>
      </w:numPr>
    </w:pPr>
  </w:style>
  <w:style w:type="paragraph" w:customStyle="1" w:styleId="DHHSnumberlowerromanindent">
    <w:name w:val="DHHS number lower roman indent"/>
    <w:basedOn w:val="DHHSbody"/>
    <w:uiPriority w:val="3"/>
    <w:rsid w:val="00180CEE"/>
    <w:pPr>
      <w:numPr>
        <w:ilvl w:val="5"/>
        <w:numId w:val="2"/>
      </w:numPr>
    </w:pPr>
  </w:style>
  <w:style w:type="paragraph" w:customStyle="1" w:styleId="DHHSnumberdigitindent">
    <w:name w:val="DHHS number digit indent"/>
    <w:basedOn w:val="DHHSnumberloweralphaindent"/>
    <w:uiPriority w:val="3"/>
    <w:rsid w:val="00180CEE"/>
    <w:pPr>
      <w:numPr>
        <w:ilvl w:val="1"/>
      </w:numPr>
    </w:pPr>
  </w:style>
  <w:style w:type="paragraph" w:styleId="Title">
    <w:name w:val="Title"/>
    <w:basedOn w:val="Normal"/>
    <w:next w:val="Normal"/>
    <w:link w:val="TitleChar"/>
    <w:uiPriority w:val="10"/>
    <w:qFormat/>
    <w:rsid w:val="00180CEE"/>
    <w:pPr>
      <w:spacing w:before="240" w:after="60" w:line="240" w:lineRule="auto"/>
      <w:jc w:val="center"/>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180CEE"/>
    <w:rPr>
      <w:rFonts w:ascii="Calibri Light" w:eastAsia="Times New Roman" w:hAnsi="Calibri Light" w:cs="Times New Roman"/>
      <w:b/>
      <w:bCs/>
      <w:kern w:val="28"/>
      <w:sz w:val="32"/>
      <w:szCs w:val="32"/>
    </w:rPr>
  </w:style>
  <w:style w:type="paragraph" w:styleId="ListParagraph">
    <w:name w:val="List Paragraph"/>
    <w:basedOn w:val="Normal"/>
    <w:uiPriority w:val="72"/>
    <w:qFormat/>
    <w:rsid w:val="00180CEE"/>
    <w:pPr>
      <w:spacing w:after="0" w:line="240" w:lineRule="auto"/>
      <w:ind w:left="720"/>
      <w:contextualSpacing/>
    </w:pPr>
    <w:rPr>
      <w:rFonts w:ascii="Cambria" w:eastAsia="Times New Roman" w:hAnsi="Cambria" w:cs="Times New Roman"/>
      <w:sz w:val="20"/>
      <w:szCs w:val="20"/>
    </w:rPr>
  </w:style>
  <w:style w:type="character" w:styleId="CommentReference">
    <w:name w:val="annotation reference"/>
    <w:uiPriority w:val="99"/>
    <w:semiHidden/>
    <w:unhideWhenUsed/>
    <w:rsid w:val="00180CEE"/>
    <w:rPr>
      <w:sz w:val="16"/>
      <w:szCs w:val="16"/>
    </w:rPr>
  </w:style>
  <w:style w:type="paragraph" w:styleId="CommentText">
    <w:name w:val="annotation text"/>
    <w:basedOn w:val="Normal"/>
    <w:link w:val="CommentTextChar"/>
    <w:uiPriority w:val="99"/>
    <w:semiHidden/>
    <w:unhideWhenUsed/>
    <w:rsid w:val="00180CEE"/>
    <w:pPr>
      <w:spacing w:after="0" w:line="240" w:lineRule="auto"/>
    </w:pPr>
    <w:rPr>
      <w:rFonts w:ascii="Cambria" w:eastAsia="Times New Roman" w:hAnsi="Cambria" w:cs="Times New Roman"/>
      <w:sz w:val="20"/>
      <w:szCs w:val="20"/>
    </w:rPr>
  </w:style>
  <w:style w:type="character" w:customStyle="1" w:styleId="CommentTextChar">
    <w:name w:val="Comment Text Char"/>
    <w:basedOn w:val="DefaultParagraphFont"/>
    <w:link w:val="CommentText"/>
    <w:uiPriority w:val="99"/>
    <w:semiHidden/>
    <w:rsid w:val="00180CEE"/>
    <w:rPr>
      <w:rFonts w:ascii="Cambria" w:eastAsia="Times New Roman" w:hAnsi="Cambria" w:cs="Times New Roman"/>
      <w:sz w:val="20"/>
      <w:szCs w:val="20"/>
    </w:rPr>
  </w:style>
  <w:style w:type="table" w:customStyle="1" w:styleId="GridTable1Light">
    <w:name w:val="Grid Table 1 Light"/>
    <w:basedOn w:val="TableNormal"/>
    <w:uiPriority w:val="46"/>
    <w:rsid w:val="00180CE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180CEE"/>
    <w:rPr>
      <w:b/>
      <w:bCs/>
    </w:rPr>
  </w:style>
  <w:style w:type="character" w:customStyle="1" w:styleId="CommentSubjectChar">
    <w:name w:val="Comment Subject Char"/>
    <w:basedOn w:val="CommentTextChar"/>
    <w:link w:val="CommentSubject"/>
    <w:uiPriority w:val="99"/>
    <w:semiHidden/>
    <w:rsid w:val="00180CEE"/>
    <w:rPr>
      <w:rFonts w:ascii="Cambria" w:eastAsia="Times New Roman" w:hAnsi="Cambria" w:cs="Times New Roman"/>
      <w:b/>
      <w:bCs/>
      <w:sz w:val="20"/>
      <w:szCs w:val="20"/>
    </w:rPr>
  </w:style>
  <w:style w:type="character" w:styleId="HTMLCite">
    <w:name w:val="HTML Cite"/>
    <w:basedOn w:val="DefaultParagraphFont"/>
    <w:uiPriority w:val="99"/>
    <w:semiHidden/>
    <w:unhideWhenUsed/>
    <w:rsid w:val="00180CE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next w:val="DHHSbody"/>
    <w:link w:val="Heading1Char"/>
    <w:uiPriority w:val="1"/>
    <w:qFormat/>
    <w:rsid w:val="00180CEE"/>
    <w:pPr>
      <w:keepNext/>
      <w:keepLines/>
      <w:spacing w:before="480" w:after="320" w:line="440" w:lineRule="atLeast"/>
      <w:outlineLvl w:val="0"/>
    </w:pPr>
    <w:rPr>
      <w:rFonts w:ascii="Arial" w:eastAsia="Times New Roman" w:hAnsi="Arial" w:cs="Times New Roman"/>
      <w:bCs/>
      <w:color w:val="004EA8"/>
      <w:sz w:val="44"/>
      <w:szCs w:val="44"/>
    </w:rPr>
  </w:style>
  <w:style w:type="paragraph" w:styleId="Heading2">
    <w:name w:val="heading 2"/>
    <w:next w:val="DHHSbody"/>
    <w:link w:val="Heading2Char"/>
    <w:uiPriority w:val="1"/>
    <w:qFormat/>
    <w:rsid w:val="00180CEE"/>
    <w:pPr>
      <w:keepNext/>
      <w:keepLines/>
      <w:spacing w:before="240" w:after="90" w:line="320" w:lineRule="atLeast"/>
      <w:outlineLvl w:val="1"/>
    </w:pPr>
    <w:rPr>
      <w:rFonts w:ascii="Arial" w:eastAsia="Times New Roman" w:hAnsi="Arial" w:cs="Times New Roman"/>
      <w:b/>
      <w:color w:val="004EA8"/>
      <w:sz w:val="28"/>
      <w:szCs w:val="28"/>
    </w:rPr>
  </w:style>
  <w:style w:type="paragraph" w:styleId="Heading3">
    <w:name w:val="heading 3"/>
    <w:next w:val="DHHSbody"/>
    <w:link w:val="Heading3Char"/>
    <w:uiPriority w:val="1"/>
    <w:qFormat/>
    <w:rsid w:val="00180CEE"/>
    <w:pPr>
      <w:keepNext/>
      <w:keepLines/>
      <w:spacing w:before="280" w:after="120" w:line="280" w:lineRule="atLeast"/>
      <w:outlineLvl w:val="2"/>
    </w:pPr>
    <w:rPr>
      <w:rFonts w:ascii="Arial" w:eastAsia="MS Gothic" w:hAnsi="Arial" w:cs="Times New Roman"/>
      <w:b/>
      <w:bCs/>
      <w:sz w:val="24"/>
      <w:szCs w:val="26"/>
    </w:rPr>
  </w:style>
  <w:style w:type="paragraph" w:styleId="Heading4">
    <w:name w:val="heading 4"/>
    <w:next w:val="DHHSbody"/>
    <w:link w:val="Heading4Char"/>
    <w:uiPriority w:val="1"/>
    <w:qFormat/>
    <w:rsid w:val="00180CEE"/>
    <w:pPr>
      <w:keepNext/>
      <w:keepLines/>
      <w:spacing w:before="240" w:after="120" w:line="240" w:lineRule="atLeast"/>
      <w:outlineLvl w:val="3"/>
    </w:pPr>
    <w:rPr>
      <w:rFonts w:ascii="Arial" w:eastAsia="MS Mincho" w:hAnsi="Arial" w:cs="Times New Roman"/>
      <w:b/>
      <w:bCs/>
      <w:sz w:val="20"/>
      <w:szCs w:val="20"/>
    </w:rPr>
  </w:style>
  <w:style w:type="paragraph" w:styleId="Heading5">
    <w:name w:val="heading 5"/>
    <w:next w:val="DHHSbody"/>
    <w:link w:val="Heading5Char"/>
    <w:uiPriority w:val="9"/>
    <w:qFormat/>
    <w:rsid w:val="00180CEE"/>
    <w:pPr>
      <w:keepNext/>
      <w:keepLines/>
      <w:suppressAutoHyphens/>
      <w:spacing w:before="240" w:after="120" w:line="240" w:lineRule="atLeast"/>
      <w:outlineLvl w:val="4"/>
    </w:pPr>
    <w:rPr>
      <w:rFonts w:ascii="Arial" w:eastAsia="MS Mincho" w:hAnsi="Arial" w:cs="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uiPriority w:val="1"/>
    <w:rsid w:val="00180CEE"/>
    <w:rPr>
      <w:rFonts w:ascii="Arial" w:eastAsia="Times New Roman" w:hAnsi="Arial" w:cs="Times New Roman"/>
      <w:bCs/>
      <w:color w:val="004EA8"/>
      <w:sz w:val="44"/>
      <w:szCs w:val="44"/>
    </w:rPr>
  </w:style>
  <w:style w:type="character" w:customStyle="1" w:styleId="Heading2Char">
    <w:name w:val="Heading 2 Char"/>
    <w:basedOn w:val="DefaultParagraphFont"/>
    <w:link w:val="Heading2"/>
    <w:uiPriority w:val="1"/>
    <w:rsid w:val="00180CEE"/>
    <w:rPr>
      <w:rFonts w:ascii="Arial" w:eastAsia="Times New Roman" w:hAnsi="Arial" w:cs="Times New Roman"/>
      <w:b/>
      <w:color w:val="004EA8"/>
      <w:sz w:val="28"/>
      <w:szCs w:val="28"/>
    </w:rPr>
  </w:style>
  <w:style w:type="character" w:customStyle="1" w:styleId="Heading3Char">
    <w:name w:val="Heading 3 Char"/>
    <w:basedOn w:val="DefaultParagraphFont"/>
    <w:link w:val="Heading3"/>
    <w:uiPriority w:val="1"/>
    <w:rsid w:val="00180CEE"/>
    <w:rPr>
      <w:rFonts w:ascii="Arial" w:eastAsia="MS Gothic" w:hAnsi="Arial" w:cs="Times New Roman"/>
      <w:b/>
      <w:bCs/>
      <w:sz w:val="24"/>
      <w:szCs w:val="26"/>
    </w:rPr>
  </w:style>
  <w:style w:type="character" w:customStyle="1" w:styleId="Heading4Char">
    <w:name w:val="Heading 4 Char"/>
    <w:basedOn w:val="DefaultParagraphFont"/>
    <w:link w:val="Heading4"/>
    <w:uiPriority w:val="1"/>
    <w:rsid w:val="00180CEE"/>
    <w:rPr>
      <w:rFonts w:ascii="Arial" w:eastAsia="MS Mincho" w:hAnsi="Arial" w:cs="Times New Roman"/>
      <w:b/>
      <w:bCs/>
      <w:sz w:val="20"/>
      <w:szCs w:val="20"/>
    </w:rPr>
  </w:style>
  <w:style w:type="character" w:customStyle="1" w:styleId="Heading5Char">
    <w:name w:val="Heading 5 Char"/>
    <w:basedOn w:val="DefaultParagraphFont"/>
    <w:link w:val="Heading5"/>
    <w:uiPriority w:val="9"/>
    <w:rsid w:val="00180CEE"/>
    <w:rPr>
      <w:rFonts w:ascii="Arial" w:eastAsia="MS Mincho" w:hAnsi="Arial" w:cs="Times New Roman"/>
      <w:b/>
      <w:bCs/>
      <w:i/>
      <w:sz w:val="20"/>
      <w:szCs w:val="20"/>
    </w:rPr>
  </w:style>
  <w:style w:type="character" w:styleId="FollowedHyperlink">
    <w:name w:val="FollowedHyperlink"/>
    <w:uiPriority w:val="99"/>
    <w:rsid w:val="00180CEE"/>
    <w:rPr>
      <w:color w:val="6633CC"/>
      <w:u w:val="dotted"/>
    </w:rPr>
  </w:style>
  <w:style w:type="paragraph" w:customStyle="1" w:styleId="DHHStabletext6pt">
    <w:name w:val="DHHS table text + 6pt"/>
    <w:basedOn w:val="DHHStabletext"/>
    <w:rsid w:val="00180CEE"/>
    <w:pPr>
      <w:spacing w:after="120"/>
    </w:pPr>
  </w:style>
  <w:style w:type="paragraph" w:styleId="Subtitle">
    <w:name w:val="Subtitle"/>
    <w:basedOn w:val="Normal"/>
    <w:next w:val="Normal"/>
    <w:link w:val="SubtitleChar"/>
    <w:uiPriority w:val="11"/>
    <w:qFormat/>
    <w:rsid w:val="00180CEE"/>
    <w:pPr>
      <w:spacing w:after="60" w:line="240" w:lineRule="auto"/>
      <w:jc w:val="center"/>
    </w:pPr>
    <w:rPr>
      <w:rFonts w:ascii="Calibri Light" w:eastAsia="Times New Roman" w:hAnsi="Calibri Light" w:cs="Times New Roman"/>
      <w:sz w:val="24"/>
      <w:szCs w:val="24"/>
    </w:rPr>
  </w:style>
  <w:style w:type="character" w:customStyle="1" w:styleId="SubtitleChar">
    <w:name w:val="Subtitle Char"/>
    <w:basedOn w:val="DefaultParagraphFont"/>
    <w:link w:val="Subtitle"/>
    <w:uiPriority w:val="11"/>
    <w:rsid w:val="00180CEE"/>
    <w:rPr>
      <w:rFonts w:ascii="Calibri Light" w:eastAsia="Times New Roman" w:hAnsi="Calibri Light" w:cs="Times New Roman"/>
      <w:sz w:val="24"/>
      <w:szCs w:val="24"/>
    </w:rPr>
  </w:style>
  <w:style w:type="paragraph" w:styleId="EndnoteText">
    <w:name w:val="endnote text"/>
    <w:basedOn w:val="Normal"/>
    <w:link w:val="EndnoteTextChar"/>
    <w:semiHidden/>
    <w:rsid w:val="00180CEE"/>
    <w:pPr>
      <w:spacing w:after="0" w:line="240" w:lineRule="auto"/>
    </w:pPr>
    <w:rPr>
      <w:rFonts w:ascii="Cambria" w:eastAsia="Times New Roman" w:hAnsi="Cambria" w:cs="Times New Roman"/>
      <w:sz w:val="24"/>
      <w:szCs w:val="24"/>
    </w:rPr>
  </w:style>
  <w:style w:type="character" w:customStyle="1" w:styleId="EndnoteTextChar">
    <w:name w:val="Endnote Text Char"/>
    <w:basedOn w:val="DefaultParagraphFont"/>
    <w:link w:val="EndnoteText"/>
    <w:semiHidden/>
    <w:rsid w:val="00180CEE"/>
    <w:rPr>
      <w:rFonts w:ascii="Cambria" w:eastAsia="Times New Roman" w:hAnsi="Cambria" w:cs="Times New Roman"/>
      <w:sz w:val="24"/>
      <w:szCs w:val="24"/>
    </w:rPr>
  </w:style>
  <w:style w:type="character" w:styleId="EndnoteReference">
    <w:name w:val="endnote reference"/>
    <w:semiHidden/>
    <w:rsid w:val="00180CEE"/>
    <w:rPr>
      <w:rFonts w:ascii="Arial" w:hAnsi="Arial"/>
      <w:sz w:val="20"/>
      <w:vertAlign w:val="superscript"/>
    </w:rPr>
  </w:style>
  <w:style w:type="table" w:styleId="TableGrid">
    <w:name w:val="Table Grid"/>
    <w:basedOn w:val="TableNormal"/>
    <w:rsid w:val="00180CEE"/>
    <w:pPr>
      <w:spacing w:after="0" w:line="240" w:lineRule="auto"/>
    </w:pPr>
    <w:rPr>
      <w:rFonts w:ascii="Arial" w:eastAsia="Times New Roman" w:hAnsi="Arial"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180CEE"/>
  </w:style>
  <w:style w:type="paragraph" w:customStyle="1" w:styleId="DHHSreportsubtitle">
    <w:name w:val="DHHS report subtitle"/>
    <w:basedOn w:val="Normal"/>
    <w:uiPriority w:val="4"/>
    <w:rsid w:val="00180CEE"/>
    <w:pPr>
      <w:spacing w:after="120" w:line="380" w:lineRule="atLeast"/>
    </w:pPr>
    <w:rPr>
      <w:rFonts w:ascii="Arial" w:eastAsia="Times New Roman" w:hAnsi="Arial" w:cs="Times New Roman"/>
      <w:color w:val="000000"/>
      <w:sz w:val="30"/>
      <w:szCs w:val="30"/>
    </w:rPr>
  </w:style>
  <w:style w:type="character" w:styleId="FootnoteReference">
    <w:name w:val="footnote reference"/>
    <w:rsid w:val="00180CEE"/>
    <w:rPr>
      <w:vertAlign w:val="superscript"/>
    </w:rPr>
  </w:style>
  <w:style w:type="paragraph" w:customStyle="1" w:styleId="DHHSreportmaintitle">
    <w:name w:val="DHHS report main title"/>
    <w:uiPriority w:val="4"/>
    <w:rsid w:val="00180CEE"/>
    <w:pPr>
      <w:keepLines/>
      <w:spacing w:after="240" w:line="580" w:lineRule="atLeast"/>
    </w:pPr>
    <w:rPr>
      <w:rFonts w:ascii="Arial" w:eastAsia="Times New Roman" w:hAnsi="Arial" w:cs="Times New Roman"/>
      <w:color w:val="004EA8"/>
      <w:sz w:val="50"/>
      <w:szCs w:val="24"/>
    </w:rPr>
  </w:style>
  <w:style w:type="paragraph" w:styleId="FootnoteText">
    <w:name w:val="footnote text"/>
    <w:basedOn w:val="Normal"/>
    <w:link w:val="FootnoteTextChar"/>
    <w:uiPriority w:val="8"/>
    <w:rsid w:val="00180CEE"/>
    <w:pPr>
      <w:spacing w:before="60" w:after="60" w:line="200" w:lineRule="atLeast"/>
    </w:pPr>
    <w:rPr>
      <w:rFonts w:ascii="Arial" w:eastAsia="MS Gothic" w:hAnsi="Arial" w:cs="Arial"/>
      <w:sz w:val="16"/>
      <w:szCs w:val="16"/>
    </w:rPr>
  </w:style>
  <w:style w:type="character" w:customStyle="1" w:styleId="FootnoteTextChar">
    <w:name w:val="Footnote Text Char"/>
    <w:basedOn w:val="DefaultParagraphFont"/>
    <w:link w:val="FootnoteText"/>
    <w:uiPriority w:val="8"/>
    <w:rsid w:val="00180CEE"/>
    <w:rPr>
      <w:rFonts w:ascii="Arial" w:eastAsia="MS Gothic" w:hAnsi="Arial" w:cs="Arial"/>
      <w:sz w:val="16"/>
      <w:szCs w:val="16"/>
    </w:rPr>
  </w:style>
  <w:style w:type="paragraph" w:styleId="TOC1">
    <w:name w:val="toc 1"/>
    <w:basedOn w:val="Normal"/>
    <w:next w:val="Normal"/>
    <w:uiPriority w:val="39"/>
    <w:rsid w:val="00180CEE"/>
    <w:pPr>
      <w:keepNext/>
      <w:keepLines/>
      <w:tabs>
        <w:tab w:val="right" w:leader="dot" w:pos="9299"/>
      </w:tabs>
      <w:spacing w:before="160" w:after="60" w:line="270" w:lineRule="atLeast"/>
      <w:ind w:right="680"/>
    </w:pPr>
    <w:rPr>
      <w:rFonts w:ascii="Arial" w:eastAsia="Times New Roman" w:hAnsi="Arial" w:cs="Times New Roman"/>
      <w:b/>
      <w:noProof/>
      <w:sz w:val="20"/>
      <w:szCs w:val="20"/>
    </w:rPr>
  </w:style>
  <w:style w:type="paragraph" w:styleId="TOC2">
    <w:name w:val="toc 2"/>
    <w:basedOn w:val="Normal"/>
    <w:next w:val="Normal"/>
    <w:uiPriority w:val="39"/>
    <w:rsid w:val="00180CEE"/>
    <w:pPr>
      <w:keepNext/>
      <w:keepLines/>
      <w:tabs>
        <w:tab w:val="right" w:leader="dot" w:pos="9299"/>
      </w:tabs>
      <w:spacing w:after="60" w:line="270" w:lineRule="atLeast"/>
      <w:ind w:right="680"/>
    </w:pPr>
    <w:rPr>
      <w:rFonts w:ascii="Arial" w:eastAsia="Times New Roman" w:hAnsi="Arial" w:cs="Times New Roman"/>
      <w:noProof/>
      <w:sz w:val="20"/>
      <w:szCs w:val="20"/>
    </w:rPr>
  </w:style>
  <w:style w:type="paragraph" w:styleId="TOC3">
    <w:name w:val="toc 3"/>
    <w:basedOn w:val="Normal"/>
    <w:next w:val="Normal"/>
    <w:uiPriority w:val="39"/>
    <w:rsid w:val="00180CEE"/>
    <w:pPr>
      <w:keepLines/>
      <w:tabs>
        <w:tab w:val="right" w:leader="dot" w:pos="9299"/>
      </w:tabs>
      <w:spacing w:after="60" w:line="270" w:lineRule="atLeast"/>
      <w:ind w:left="284" w:right="680"/>
    </w:pPr>
    <w:rPr>
      <w:rFonts w:ascii="Arial" w:eastAsia="Times New Roman" w:hAnsi="Arial" w:cs="Arial"/>
      <w:sz w:val="20"/>
      <w:szCs w:val="20"/>
    </w:rPr>
  </w:style>
  <w:style w:type="paragraph" w:styleId="TOC4">
    <w:name w:val="toc 4"/>
    <w:basedOn w:val="Normal"/>
    <w:next w:val="Normal"/>
    <w:uiPriority w:val="39"/>
    <w:rsid w:val="00180CEE"/>
    <w:pPr>
      <w:keepLines/>
      <w:tabs>
        <w:tab w:val="right" w:leader="dot" w:pos="9299"/>
      </w:tabs>
      <w:spacing w:after="60" w:line="270" w:lineRule="atLeast"/>
      <w:ind w:left="567" w:right="680"/>
    </w:pPr>
    <w:rPr>
      <w:rFonts w:ascii="Arial" w:eastAsia="Times New Roman" w:hAnsi="Arial" w:cs="Arial"/>
      <w:sz w:val="20"/>
      <w:szCs w:val="20"/>
    </w:rPr>
  </w:style>
  <w:style w:type="paragraph" w:styleId="TOC5">
    <w:name w:val="toc 5"/>
    <w:basedOn w:val="Normal"/>
    <w:next w:val="Normal"/>
    <w:autoRedefine/>
    <w:semiHidden/>
    <w:rsid w:val="00180CEE"/>
    <w:pPr>
      <w:spacing w:after="0" w:line="240" w:lineRule="auto"/>
      <w:ind w:left="800"/>
    </w:pPr>
    <w:rPr>
      <w:rFonts w:ascii="Cambria" w:eastAsia="Times New Roman" w:hAnsi="Cambria" w:cs="Times New Roman"/>
      <w:sz w:val="20"/>
      <w:szCs w:val="20"/>
    </w:rPr>
  </w:style>
  <w:style w:type="paragraph" w:styleId="TOC6">
    <w:name w:val="toc 6"/>
    <w:basedOn w:val="Normal"/>
    <w:next w:val="Normal"/>
    <w:autoRedefine/>
    <w:semiHidden/>
    <w:rsid w:val="00180CEE"/>
    <w:pPr>
      <w:spacing w:after="0" w:line="240" w:lineRule="auto"/>
      <w:ind w:left="1000"/>
    </w:pPr>
    <w:rPr>
      <w:rFonts w:ascii="Cambria" w:eastAsia="Times New Roman" w:hAnsi="Cambria" w:cs="Times New Roman"/>
      <w:sz w:val="20"/>
      <w:szCs w:val="20"/>
    </w:rPr>
  </w:style>
  <w:style w:type="paragraph" w:styleId="TOC7">
    <w:name w:val="toc 7"/>
    <w:basedOn w:val="Normal"/>
    <w:next w:val="Normal"/>
    <w:autoRedefine/>
    <w:semiHidden/>
    <w:rsid w:val="00180CEE"/>
    <w:pPr>
      <w:spacing w:after="0" w:line="240" w:lineRule="auto"/>
      <w:ind w:left="1200"/>
    </w:pPr>
    <w:rPr>
      <w:rFonts w:ascii="Cambria" w:eastAsia="Times New Roman" w:hAnsi="Cambria" w:cs="Times New Roman"/>
      <w:sz w:val="20"/>
      <w:szCs w:val="20"/>
    </w:rPr>
  </w:style>
  <w:style w:type="paragraph" w:styleId="TOC8">
    <w:name w:val="toc 8"/>
    <w:basedOn w:val="Normal"/>
    <w:next w:val="Normal"/>
    <w:autoRedefine/>
    <w:semiHidden/>
    <w:rsid w:val="00180CEE"/>
    <w:pPr>
      <w:spacing w:after="0" w:line="240" w:lineRule="auto"/>
      <w:ind w:left="1400"/>
    </w:pPr>
    <w:rPr>
      <w:rFonts w:ascii="Cambria" w:eastAsia="Times New Roman" w:hAnsi="Cambria" w:cs="Times New Roman"/>
      <w:sz w:val="20"/>
      <w:szCs w:val="20"/>
    </w:rPr>
  </w:style>
  <w:style w:type="paragraph" w:styleId="TOC9">
    <w:name w:val="toc 9"/>
    <w:basedOn w:val="Normal"/>
    <w:next w:val="Normal"/>
    <w:autoRedefine/>
    <w:semiHidden/>
    <w:rsid w:val="00180CEE"/>
    <w:pPr>
      <w:spacing w:after="0" w:line="240" w:lineRule="auto"/>
      <w:ind w:left="1600"/>
    </w:pPr>
    <w:rPr>
      <w:rFonts w:ascii="Cambria" w:eastAsia="Times New Roman" w:hAnsi="Cambria" w:cs="Times New Roman"/>
      <w:sz w:val="20"/>
      <w:szCs w:val="20"/>
    </w:rPr>
  </w:style>
  <w:style w:type="paragraph" w:customStyle="1" w:styleId="DHHSreportmaintitlewhite">
    <w:name w:val="DHHS report main title white"/>
    <w:uiPriority w:val="4"/>
    <w:rsid w:val="00180CEE"/>
    <w:pPr>
      <w:keepLines/>
      <w:spacing w:after="240" w:line="580" w:lineRule="atLeast"/>
    </w:pPr>
    <w:rPr>
      <w:rFonts w:ascii="Arial" w:eastAsia="Times New Roman" w:hAnsi="Arial" w:cs="Times New Roman"/>
      <w:bCs/>
      <w:color w:val="FFFFFF"/>
      <w:sz w:val="50"/>
      <w:szCs w:val="50"/>
    </w:rPr>
  </w:style>
  <w:style w:type="paragraph" w:customStyle="1" w:styleId="DHHSreportsubtitlewhite">
    <w:name w:val="DHHS report subtitle white"/>
    <w:uiPriority w:val="4"/>
    <w:rsid w:val="00180CEE"/>
    <w:pPr>
      <w:spacing w:after="120" w:line="380" w:lineRule="atLeast"/>
    </w:pPr>
    <w:rPr>
      <w:rFonts w:ascii="Arial" w:eastAsia="Times New Roman" w:hAnsi="Arial" w:cs="Times New Roman"/>
      <w:bCs/>
      <w:color w:val="FFFFFF"/>
      <w:sz w:val="30"/>
      <w:szCs w:val="30"/>
    </w:rPr>
  </w:style>
  <w:style w:type="paragraph" w:customStyle="1" w:styleId="Coverinstructions">
    <w:name w:val="Cover instructions"/>
    <w:rsid w:val="00180CEE"/>
    <w:pPr>
      <w:spacing w:after="200" w:line="320" w:lineRule="atLeast"/>
    </w:pPr>
    <w:rPr>
      <w:rFonts w:ascii="Arial" w:eastAsia="Times New Roman" w:hAnsi="Arial" w:cs="Times New Roman"/>
      <w:color w:val="FFFFFF"/>
      <w:sz w:val="24"/>
      <w:szCs w:val="20"/>
    </w:rPr>
  </w:style>
  <w:style w:type="paragraph" w:styleId="DocumentMap">
    <w:name w:val="Document Map"/>
    <w:basedOn w:val="Normal"/>
    <w:link w:val="DocumentMapChar"/>
    <w:uiPriority w:val="99"/>
    <w:semiHidden/>
    <w:unhideWhenUsed/>
    <w:rsid w:val="00180CEE"/>
    <w:pPr>
      <w:spacing w:after="0" w:line="240" w:lineRule="auto"/>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semiHidden/>
    <w:rsid w:val="00180CEE"/>
    <w:rPr>
      <w:rFonts w:ascii="Lucida Grande" w:eastAsia="Times New Roman" w:hAnsi="Lucida Grande" w:cs="Lucida Grande"/>
      <w:sz w:val="24"/>
      <w:szCs w:val="24"/>
    </w:rPr>
  </w:style>
  <w:style w:type="character" w:styleId="Hyperlink">
    <w:name w:val="Hyperlink"/>
    <w:uiPriority w:val="99"/>
    <w:rsid w:val="00180CEE"/>
    <w:rPr>
      <w:color w:val="3366FF"/>
      <w:u w:val="dotted"/>
    </w:rPr>
  </w:style>
  <w:style w:type="paragraph" w:customStyle="1" w:styleId="DHHSbody">
    <w:name w:val="DHHS body"/>
    <w:qFormat/>
    <w:rsid w:val="00180CEE"/>
    <w:pPr>
      <w:spacing w:after="120" w:line="270" w:lineRule="atLeast"/>
    </w:pPr>
    <w:rPr>
      <w:rFonts w:ascii="Arial" w:eastAsia="Times" w:hAnsi="Arial" w:cs="Times New Roman"/>
      <w:sz w:val="20"/>
      <w:szCs w:val="20"/>
    </w:rPr>
  </w:style>
  <w:style w:type="paragraph" w:customStyle="1" w:styleId="DHHSbullet1">
    <w:name w:val="DHHS bullet 1"/>
    <w:basedOn w:val="DHHSbody"/>
    <w:qFormat/>
    <w:rsid w:val="00180CEE"/>
    <w:pPr>
      <w:numPr>
        <w:numId w:val="3"/>
      </w:numPr>
      <w:spacing w:after="40"/>
    </w:pPr>
  </w:style>
  <w:style w:type="paragraph" w:customStyle="1" w:styleId="DHHSnumberloweralpha">
    <w:name w:val="DHHS number lower alpha"/>
    <w:basedOn w:val="DHHSbody"/>
    <w:uiPriority w:val="3"/>
    <w:rsid w:val="00180CEE"/>
    <w:pPr>
      <w:numPr>
        <w:ilvl w:val="2"/>
        <w:numId w:val="2"/>
      </w:numPr>
    </w:pPr>
  </w:style>
  <w:style w:type="paragraph" w:customStyle="1" w:styleId="DHHSnumberloweralphaindent">
    <w:name w:val="DHHS number lower alpha indent"/>
    <w:basedOn w:val="DHHSbody"/>
    <w:uiPriority w:val="3"/>
    <w:rsid w:val="00180CEE"/>
    <w:pPr>
      <w:numPr>
        <w:ilvl w:val="3"/>
        <w:numId w:val="2"/>
      </w:numPr>
    </w:pPr>
  </w:style>
  <w:style w:type="paragraph" w:customStyle="1" w:styleId="DHHStablefigurenote">
    <w:name w:val="DHHS table/figure note"/>
    <w:uiPriority w:val="4"/>
    <w:rsid w:val="00180CEE"/>
    <w:pPr>
      <w:spacing w:before="60" w:after="60" w:line="240" w:lineRule="exact"/>
    </w:pPr>
    <w:rPr>
      <w:rFonts w:ascii="Arial" w:eastAsia="Times New Roman" w:hAnsi="Arial" w:cs="Times New Roman"/>
      <w:i/>
      <w:sz w:val="18"/>
      <w:szCs w:val="20"/>
    </w:rPr>
  </w:style>
  <w:style w:type="paragraph" w:customStyle="1" w:styleId="DHHStabletext">
    <w:name w:val="DHHS table text"/>
    <w:uiPriority w:val="3"/>
    <w:qFormat/>
    <w:rsid w:val="00180CEE"/>
    <w:pPr>
      <w:spacing w:before="80" w:after="60" w:line="240" w:lineRule="auto"/>
    </w:pPr>
    <w:rPr>
      <w:rFonts w:ascii="Arial" w:eastAsia="Times New Roman" w:hAnsi="Arial" w:cs="Times New Roman"/>
      <w:sz w:val="20"/>
      <w:szCs w:val="20"/>
    </w:rPr>
  </w:style>
  <w:style w:type="paragraph" w:customStyle="1" w:styleId="DHHStablecaption">
    <w:name w:val="DHHS table caption"/>
    <w:next w:val="DHHSbody"/>
    <w:uiPriority w:val="3"/>
    <w:qFormat/>
    <w:rsid w:val="00180CEE"/>
    <w:pPr>
      <w:keepNext/>
      <w:keepLines/>
      <w:spacing w:before="240" w:after="120" w:line="240" w:lineRule="atLeast"/>
    </w:pPr>
    <w:rPr>
      <w:rFonts w:ascii="Arial" w:eastAsia="Times New Roman" w:hAnsi="Arial" w:cs="Times New Roman"/>
      <w:b/>
      <w:sz w:val="20"/>
      <w:szCs w:val="20"/>
    </w:rPr>
  </w:style>
  <w:style w:type="paragraph" w:customStyle="1" w:styleId="DHHSfigurecaption">
    <w:name w:val="DHHS figure caption"/>
    <w:next w:val="DHHSbody"/>
    <w:rsid w:val="00180CEE"/>
    <w:pPr>
      <w:keepNext/>
      <w:keepLines/>
      <w:spacing w:before="240" w:after="120" w:line="240" w:lineRule="auto"/>
    </w:pPr>
    <w:rPr>
      <w:rFonts w:ascii="Arial" w:eastAsia="Times New Roman" w:hAnsi="Arial" w:cs="Times New Roman"/>
      <w:b/>
      <w:sz w:val="20"/>
      <w:szCs w:val="20"/>
    </w:rPr>
  </w:style>
  <w:style w:type="paragraph" w:customStyle="1" w:styleId="DHHSfooter">
    <w:name w:val="DHHS footer"/>
    <w:uiPriority w:val="11"/>
    <w:rsid w:val="00180CEE"/>
    <w:pPr>
      <w:tabs>
        <w:tab w:val="right" w:pos="9299"/>
      </w:tabs>
      <w:spacing w:after="0" w:line="240" w:lineRule="auto"/>
    </w:pPr>
    <w:rPr>
      <w:rFonts w:ascii="Arial" w:eastAsia="Times New Roman" w:hAnsi="Arial" w:cs="Arial"/>
      <w:sz w:val="18"/>
      <w:szCs w:val="18"/>
    </w:rPr>
  </w:style>
  <w:style w:type="paragraph" w:customStyle="1" w:styleId="DHHSbullet2">
    <w:name w:val="DHHS bullet 2"/>
    <w:basedOn w:val="DHHSbody"/>
    <w:uiPriority w:val="2"/>
    <w:qFormat/>
    <w:rsid w:val="00180CEE"/>
    <w:pPr>
      <w:numPr>
        <w:ilvl w:val="2"/>
        <w:numId w:val="3"/>
      </w:numPr>
      <w:spacing w:after="40"/>
    </w:pPr>
  </w:style>
  <w:style w:type="paragraph" w:customStyle="1" w:styleId="DHHSheader">
    <w:name w:val="DHHS header"/>
    <w:basedOn w:val="DHHSfooter"/>
    <w:uiPriority w:val="11"/>
    <w:rsid w:val="00180CEE"/>
  </w:style>
  <w:style w:type="character" w:styleId="Strong">
    <w:name w:val="Strong"/>
    <w:uiPriority w:val="22"/>
    <w:qFormat/>
    <w:rsid w:val="00180CEE"/>
    <w:rPr>
      <w:b/>
      <w:bCs/>
    </w:rPr>
  </w:style>
  <w:style w:type="paragraph" w:customStyle="1" w:styleId="DHHSnumberdigit">
    <w:name w:val="DHHS number digit"/>
    <w:basedOn w:val="DHHSbody"/>
    <w:uiPriority w:val="2"/>
    <w:rsid w:val="00180CEE"/>
    <w:pPr>
      <w:numPr>
        <w:numId w:val="2"/>
      </w:numPr>
    </w:pPr>
  </w:style>
  <w:style w:type="paragraph" w:customStyle="1" w:styleId="DHHStablecolhead">
    <w:name w:val="DHHS table col head"/>
    <w:uiPriority w:val="3"/>
    <w:qFormat/>
    <w:rsid w:val="00180CEE"/>
    <w:pPr>
      <w:spacing w:before="80" w:after="60" w:line="240" w:lineRule="auto"/>
    </w:pPr>
    <w:rPr>
      <w:rFonts w:ascii="Arial" w:eastAsia="Times New Roman" w:hAnsi="Arial" w:cs="Times New Roman"/>
      <w:b/>
      <w:color w:val="FFFFFF"/>
      <w:sz w:val="20"/>
      <w:szCs w:val="20"/>
    </w:rPr>
  </w:style>
  <w:style w:type="paragraph" w:customStyle="1" w:styleId="DHHSbodyaftertablefigure">
    <w:name w:val="DHHS body after table/figure"/>
    <w:basedOn w:val="DHHSbody"/>
    <w:next w:val="DHHSbody"/>
    <w:rsid w:val="00180CEE"/>
    <w:pPr>
      <w:spacing w:before="240"/>
    </w:pPr>
  </w:style>
  <w:style w:type="paragraph" w:customStyle="1" w:styleId="DHHSbullet1lastline">
    <w:name w:val="DHHS bullet 1 last line"/>
    <w:basedOn w:val="DHHSbullet1"/>
    <w:qFormat/>
    <w:rsid w:val="00180CEE"/>
    <w:pPr>
      <w:numPr>
        <w:ilvl w:val="1"/>
      </w:numPr>
      <w:spacing w:after="120"/>
    </w:pPr>
  </w:style>
  <w:style w:type="paragraph" w:customStyle="1" w:styleId="DHHSbullet2lastline">
    <w:name w:val="DHHS bullet 2 last line"/>
    <w:basedOn w:val="DHHSbullet2"/>
    <w:uiPriority w:val="2"/>
    <w:qFormat/>
    <w:rsid w:val="00180CEE"/>
    <w:pPr>
      <w:numPr>
        <w:ilvl w:val="3"/>
      </w:numPr>
      <w:spacing w:after="120"/>
    </w:pPr>
  </w:style>
  <w:style w:type="paragraph" w:customStyle="1" w:styleId="DHHStablebullet">
    <w:name w:val="DHHS table bullet"/>
    <w:basedOn w:val="DHHStabletext"/>
    <w:uiPriority w:val="3"/>
    <w:qFormat/>
    <w:rsid w:val="00180CEE"/>
    <w:pPr>
      <w:numPr>
        <w:ilvl w:val="6"/>
        <w:numId w:val="3"/>
      </w:numPr>
    </w:pPr>
  </w:style>
  <w:style w:type="paragraph" w:customStyle="1" w:styleId="DHHSTOCheadingreport">
    <w:name w:val="DHHS TOC heading report"/>
    <w:basedOn w:val="Heading1"/>
    <w:link w:val="DHHSTOCheadingreportChar"/>
    <w:uiPriority w:val="5"/>
    <w:rsid w:val="00180CEE"/>
    <w:pPr>
      <w:spacing w:before="0"/>
      <w:outlineLvl w:val="9"/>
    </w:pPr>
  </w:style>
  <w:style w:type="character" w:customStyle="1" w:styleId="DHHSTOCheadingreportChar">
    <w:name w:val="DHHS TOC heading report Char"/>
    <w:link w:val="DHHSTOCheadingreport"/>
    <w:uiPriority w:val="5"/>
    <w:rsid w:val="00180CEE"/>
    <w:rPr>
      <w:rFonts w:ascii="Arial" w:eastAsia="Times New Roman" w:hAnsi="Arial" w:cs="Times New Roman"/>
      <w:bCs/>
      <w:color w:val="004EA8"/>
      <w:sz w:val="44"/>
      <w:szCs w:val="44"/>
    </w:rPr>
  </w:style>
  <w:style w:type="paragraph" w:customStyle="1" w:styleId="DHHSaccessibilitypara">
    <w:name w:val="DHHS accessibility para"/>
    <w:uiPriority w:val="8"/>
    <w:rsid w:val="00180CEE"/>
    <w:pPr>
      <w:spacing w:after="300"/>
    </w:pPr>
    <w:rPr>
      <w:rFonts w:ascii="Arial" w:eastAsia="Times" w:hAnsi="Arial" w:cs="Times New Roman"/>
      <w:sz w:val="24"/>
      <w:szCs w:val="19"/>
    </w:rPr>
  </w:style>
  <w:style w:type="paragraph" w:customStyle="1" w:styleId="DHHSbodynospace">
    <w:name w:val="DHHS body no space"/>
    <w:basedOn w:val="DHHSbody"/>
    <w:uiPriority w:val="3"/>
    <w:qFormat/>
    <w:rsid w:val="00180CEE"/>
    <w:pPr>
      <w:spacing w:after="0"/>
    </w:pPr>
  </w:style>
  <w:style w:type="paragraph" w:customStyle="1" w:styleId="DHHSquote">
    <w:name w:val="DHHS quote"/>
    <w:basedOn w:val="DHHSbody"/>
    <w:uiPriority w:val="4"/>
    <w:rsid w:val="00180CEE"/>
    <w:pPr>
      <w:ind w:left="397"/>
    </w:pPr>
    <w:rPr>
      <w:szCs w:val="18"/>
    </w:rPr>
  </w:style>
  <w:style w:type="numbering" w:customStyle="1" w:styleId="ZZBullets">
    <w:name w:val="ZZ Bullets"/>
    <w:rsid w:val="00180CEE"/>
    <w:pPr>
      <w:numPr>
        <w:numId w:val="1"/>
      </w:numPr>
    </w:pPr>
  </w:style>
  <w:style w:type="paragraph" w:customStyle="1" w:styleId="DHHSbulletindent">
    <w:name w:val="DHHS bullet indent"/>
    <w:basedOn w:val="DHHSbody"/>
    <w:uiPriority w:val="4"/>
    <w:rsid w:val="00180CEE"/>
    <w:pPr>
      <w:numPr>
        <w:ilvl w:val="4"/>
        <w:numId w:val="3"/>
      </w:numPr>
      <w:spacing w:after="40"/>
    </w:pPr>
  </w:style>
  <w:style w:type="paragraph" w:customStyle="1" w:styleId="DHHSbulletindentlastline">
    <w:name w:val="DHHS bullet indent last line"/>
    <w:basedOn w:val="DHHSbody"/>
    <w:uiPriority w:val="4"/>
    <w:rsid w:val="00180CEE"/>
    <w:pPr>
      <w:numPr>
        <w:ilvl w:val="5"/>
        <w:numId w:val="3"/>
      </w:numPr>
    </w:pPr>
  </w:style>
  <w:style w:type="numbering" w:customStyle="1" w:styleId="ZZNumbers">
    <w:name w:val="ZZ Numbers"/>
    <w:rsid w:val="00180CEE"/>
    <w:pPr>
      <w:numPr>
        <w:numId w:val="9"/>
      </w:numPr>
    </w:pPr>
  </w:style>
  <w:style w:type="paragraph" w:customStyle="1" w:styleId="DHHSnumberlowerroman">
    <w:name w:val="DHHS number lower roman"/>
    <w:basedOn w:val="DHHSbody"/>
    <w:uiPriority w:val="3"/>
    <w:rsid w:val="00180CEE"/>
    <w:pPr>
      <w:numPr>
        <w:ilvl w:val="4"/>
        <w:numId w:val="2"/>
      </w:numPr>
    </w:pPr>
  </w:style>
  <w:style w:type="paragraph" w:customStyle="1" w:styleId="DHHSnumberlowerromanindent">
    <w:name w:val="DHHS number lower roman indent"/>
    <w:basedOn w:val="DHHSbody"/>
    <w:uiPriority w:val="3"/>
    <w:rsid w:val="00180CEE"/>
    <w:pPr>
      <w:numPr>
        <w:ilvl w:val="5"/>
        <w:numId w:val="2"/>
      </w:numPr>
    </w:pPr>
  </w:style>
  <w:style w:type="paragraph" w:customStyle="1" w:styleId="DHHSnumberdigitindent">
    <w:name w:val="DHHS number digit indent"/>
    <w:basedOn w:val="DHHSnumberloweralphaindent"/>
    <w:uiPriority w:val="3"/>
    <w:rsid w:val="00180CEE"/>
    <w:pPr>
      <w:numPr>
        <w:ilvl w:val="1"/>
      </w:numPr>
    </w:pPr>
  </w:style>
  <w:style w:type="paragraph" w:styleId="Title">
    <w:name w:val="Title"/>
    <w:basedOn w:val="Normal"/>
    <w:next w:val="Normal"/>
    <w:link w:val="TitleChar"/>
    <w:uiPriority w:val="10"/>
    <w:qFormat/>
    <w:rsid w:val="00180CEE"/>
    <w:pPr>
      <w:spacing w:before="240" w:after="60" w:line="240" w:lineRule="auto"/>
      <w:jc w:val="center"/>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180CEE"/>
    <w:rPr>
      <w:rFonts w:ascii="Calibri Light" w:eastAsia="Times New Roman" w:hAnsi="Calibri Light" w:cs="Times New Roman"/>
      <w:b/>
      <w:bCs/>
      <w:kern w:val="28"/>
      <w:sz w:val="32"/>
      <w:szCs w:val="32"/>
    </w:rPr>
  </w:style>
  <w:style w:type="paragraph" w:styleId="ListParagraph">
    <w:name w:val="List Paragraph"/>
    <w:basedOn w:val="Normal"/>
    <w:uiPriority w:val="72"/>
    <w:qFormat/>
    <w:rsid w:val="00180CEE"/>
    <w:pPr>
      <w:spacing w:after="0" w:line="240" w:lineRule="auto"/>
      <w:ind w:left="720"/>
      <w:contextualSpacing/>
    </w:pPr>
    <w:rPr>
      <w:rFonts w:ascii="Cambria" w:eastAsia="Times New Roman" w:hAnsi="Cambria" w:cs="Times New Roman"/>
      <w:sz w:val="20"/>
      <w:szCs w:val="20"/>
    </w:rPr>
  </w:style>
  <w:style w:type="character" w:styleId="CommentReference">
    <w:name w:val="annotation reference"/>
    <w:uiPriority w:val="99"/>
    <w:semiHidden/>
    <w:unhideWhenUsed/>
    <w:rsid w:val="00180CEE"/>
    <w:rPr>
      <w:sz w:val="16"/>
      <w:szCs w:val="16"/>
    </w:rPr>
  </w:style>
  <w:style w:type="paragraph" w:styleId="CommentText">
    <w:name w:val="annotation text"/>
    <w:basedOn w:val="Normal"/>
    <w:link w:val="CommentTextChar"/>
    <w:uiPriority w:val="99"/>
    <w:semiHidden/>
    <w:unhideWhenUsed/>
    <w:rsid w:val="00180CEE"/>
    <w:pPr>
      <w:spacing w:after="0" w:line="240" w:lineRule="auto"/>
    </w:pPr>
    <w:rPr>
      <w:rFonts w:ascii="Cambria" w:eastAsia="Times New Roman" w:hAnsi="Cambria" w:cs="Times New Roman"/>
      <w:sz w:val="20"/>
      <w:szCs w:val="20"/>
    </w:rPr>
  </w:style>
  <w:style w:type="character" w:customStyle="1" w:styleId="CommentTextChar">
    <w:name w:val="Comment Text Char"/>
    <w:basedOn w:val="DefaultParagraphFont"/>
    <w:link w:val="CommentText"/>
    <w:uiPriority w:val="99"/>
    <w:semiHidden/>
    <w:rsid w:val="00180CEE"/>
    <w:rPr>
      <w:rFonts w:ascii="Cambria" w:eastAsia="Times New Roman" w:hAnsi="Cambria" w:cs="Times New Roman"/>
      <w:sz w:val="20"/>
      <w:szCs w:val="20"/>
    </w:rPr>
  </w:style>
  <w:style w:type="table" w:customStyle="1" w:styleId="GridTable1Light">
    <w:name w:val="Grid Table 1 Light"/>
    <w:basedOn w:val="TableNormal"/>
    <w:uiPriority w:val="46"/>
    <w:rsid w:val="00180CE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180CEE"/>
    <w:rPr>
      <w:b/>
      <w:bCs/>
    </w:rPr>
  </w:style>
  <w:style w:type="character" w:customStyle="1" w:styleId="CommentSubjectChar">
    <w:name w:val="Comment Subject Char"/>
    <w:basedOn w:val="CommentTextChar"/>
    <w:link w:val="CommentSubject"/>
    <w:uiPriority w:val="99"/>
    <w:semiHidden/>
    <w:rsid w:val="00180CEE"/>
    <w:rPr>
      <w:rFonts w:ascii="Cambria" w:eastAsia="Times New Roman" w:hAnsi="Cambria" w:cs="Times New Roman"/>
      <w:b/>
      <w:bCs/>
      <w:sz w:val="20"/>
      <w:szCs w:val="20"/>
    </w:rPr>
  </w:style>
  <w:style w:type="character" w:styleId="HTMLCite">
    <w:name w:val="HTML Cite"/>
    <w:basedOn w:val="DefaultParagraphFont"/>
    <w:uiPriority w:val="99"/>
    <w:semiHidden/>
    <w:unhideWhenUsed/>
    <w:rsid w:val="00180C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viruseradication.com/journal-details/Australasian_Society_for_HIV,_Viral_Hepatitis_and_Sexual_Health_Medicine_HIV_pre-exposure_prophylaxis:_clinical_guidelines/" TargetMode="External"/><Relationship Id="rId26" Type="http://schemas.openxmlformats.org/officeDocument/2006/relationships/hyperlink" Target="http://www.pan.org.au" TargetMode="External"/><Relationship Id="rId39" Type="http://schemas.openxmlformats.org/officeDocument/2006/relationships/hyperlink" Target="http://www.pan.org.au" TargetMode="External"/><Relationship Id="rId3" Type="http://schemas.openxmlformats.org/officeDocument/2006/relationships/styles" Target="styles.xml"/><Relationship Id="rId21" Type="http://schemas.openxmlformats.org/officeDocument/2006/relationships/hyperlink" Target="https://www.cdc.gov/hiv/risk/prep/index.html" TargetMode="External"/><Relationship Id="rId34" Type="http://schemas.openxmlformats.org/officeDocument/2006/relationships/hyperlink" Target="https://stipu.nsw.gov.au/stigma/stihiv-testing-guidelines-for-msm/" TargetMode="External"/><Relationship Id="rId42" Type="http://schemas.openxmlformats.org/officeDocument/2006/relationships/hyperlink" Target="http://www.dhhs.tas.gov.au/publichealth/communicable_diseases_prevention_unit/infectious_diseases/hi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repdforchange.com" TargetMode="External"/><Relationship Id="rId25" Type="http://schemas.openxmlformats.org/officeDocument/2006/relationships/hyperlink" Target="https://www.truvadapreprems.com/truvadaprep-safety-profile" TargetMode="External"/><Relationship Id="rId33" Type="http://schemas.openxmlformats.org/officeDocument/2006/relationships/hyperlink" Target="http://allgood.org.au/" TargetMode="External"/><Relationship Id="rId38" Type="http://schemas.openxmlformats.org/officeDocument/2006/relationships/hyperlink" Target="http://www.tascahrd.org.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an.org.au/get-prep/" TargetMode="External"/><Relationship Id="rId20" Type="http://schemas.openxmlformats.org/officeDocument/2006/relationships/hyperlink" Target="http://viruseradication.com/journal-details/Australasian_Society_for_HIV,_Viral_Hepatitis_and_Sexual_Health_Medicine_HIV_pre-exposure_prophylaxis:_clinical_guidelines/" TargetMode="External"/><Relationship Id="rId29" Type="http://schemas.openxmlformats.org/officeDocument/2006/relationships/hyperlink" Target="http://www.ashm.org.au/HIV/PrEP/" TargetMode="External"/><Relationship Id="rId41" Type="http://schemas.openxmlformats.org/officeDocument/2006/relationships/hyperlink" Target="http://www.ashm.org.au/HIV/PrE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wmphn.org.au/vhhital" TargetMode="External"/><Relationship Id="rId32" Type="http://schemas.openxmlformats.org/officeDocument/2006/relationships/hyperlink" Target="http://www.tascahrd.org.au/" TargetMode="External"/><Relationship Id="rId37" Type="http://schemas.openxmlformats.org/officeDocument/2006/relationships/hyperlink" Target="https://www.ashm.org.au/HIV/PrEP/" TargetMode="External"/><Relationship Id="rId40" Type="http://schemas.openxmlformats.org/officeDocument/2006/relationships/hyperlink" Target="http://www.prepdforchange.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hhs.tas.gov.au/" TargetMode="External"/><Relationship Id="rId23" Type="http://schemas.openxmlformats.org/officeDocument/2006/relationships/hyperlink" Target="https://www.truvadapreprems.com/" TargetMode="External"/><Relationship Id="rId28" Type="http://schemas.openxmlformats.org/officeDocument/2006/relationships/hyperlink" Target="http://www.afao.org.au/wp-content/uploads/2018/03/2335_afao_prep_fact_sheet_11-1.pdf" TargetMode="External"/><Relationship Id="rId36" Type="http://schemas.openxmlformats.org/officeDocument/2006/relationships/hyperlink" Target="http://www.dhhs.tas.gov.au/publichealth/communicable_diseases_prevention_unit/infectious_diseases/hiv/Tasmanian_guidance_on_pre-exposure_prophylaxis_PreEP.docx" TargetMode="External"/><Relationship Id="rId10" Type="http://schemas.openxmlformats.org/officeDocument/2006/relationships/header" Target="header2.xml"/><Relationship Id="rId19" Type="http://schemas.openxmlformats.org/officeDocument/2006/relationships/hyperlink" Target="http://www.ashm.org.au/HIV/PrEP/" TargetMode="External"/><Relationship Id="rId31" Type="http://schemas.openxmlformats.org/officeDocument/2006/relationships/hyperlink" Target="http://www.pan.org.au" TargetMode="External"/><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ho.int/hiv/pub/guidelines/earlyrelease-arv/en/" TargetMode="External"/><Relationship Id="rId27" Type="http://schemas.openxmlformats.org/officeDocument/2006/relationships/hyperlink" Target="http://www.prepdforchange.com" TargetMode="External"/><Relationship Id="rId30" Type="http://schemas.openxmlformats.org/officeDocument/2006/relationships/hyperlink" Target="http://www.prepdforchange.com" TargetMode="External"/><Relationship Id="rId35" Type="http://schemas.openxmlformats.org/officeDocument/2006/relationships/hyperlink" Target="http://viruseradication.com/journal-details/Australasian_Society_for_HIV,_Viral_Hepatitis_and_Sexual_Health_Medicine_HIV_pre-exposure_prophylaxis:_clinical_guidelines/" TargetMode="External"/><Relationship Id="rId43" Type="http://schemas.openxmlformats.org/officeDocument/2006/relationships/hyperlink" Target="http://www.tascahrd.org.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ncbi.nlm.nih.gov/pubmed/26917574" TargetMode="External"/><Relationship Id="rId13" Type="http://schemas.openxmlformats.org/officeDocument/2006/relationships/hyperlink" Target="http://www.nejm.org/doi/full/10.1056/NEJMoa1600693" TargetMode="External"/><Relationship Id="rId18" Type="http://schemas.openxmlformats.org/officeDocument/2006/relationships/hyperlink" Target="http://www.who.int/hiv/pub/guidelines/earlyrelease-arv/en/" TargetMode="External"/><Relationship Id="rId3" Type="http://schemas.openxmlformats.org/officeDocument/2006/relationships/hyperlink" Target="https://www2.health.vic.gov.au/about/publications/policiesandguidelines/victorian-hiv-strategy-2017-2020" TargetMode="External"/><Relationship Id="rId7" Type="http://schemas.openxmlformats.org/officeDocument/2006/relationships/hyperlink" Target="http://www.cdc.gov/hiv/pdf/prepguidelines2014.pdf" TargetMode="External"/><Relationship Id="rId12" Type="http://schemas.openxmlformats.org/officeDocument/2006/relationships/hyperlink" Target="http://programme.ias2017.org/Abstract/Abstract/5469" TargetMode="External"/><Relationship Id="rId17" Type="http://schemas.openxmlformats.org/officeDocument/2006/relationships/hyperlink" Target="http://www.nejm.org/doi/full/10.1056/NEJMoa1506273" TargetMode="External"/><Relationship Id="rId2" Type="http://schemas.openxmlformats.org/officeDocument/2006/relationships/hyperlink" Target="https://stipu.nsw.gov.au/stigma/stihiv-testing-guidelines-for-msm/" TargetMode="External"/><Relationship Id="rId16" Type="http://schemas.openxmlformats.org/officeDocument/2006/relationships/hyperlink" Target="https://www.tga.gov.au/personal-importation-scheme" TargetMode="External"/><Relationship Id="rId1" Type="http://schemas.openxmlformats.org/officeDocument/2006/relationships/hyperlink" Target="http://viruseradication.com/journal-details/Australasian_Society_for_HIV,_Viral_Hepatitis_and_Sexual_Health_Medicine_HIV_pre-exposure_prophylaxis:_clinical_guidelines/" TargetMode="External"/><Relationship Id="rId6" Type="http://schemas.openxmlformats.org/officeDocument/2006/relationships/hyperlink" Target="http://www.truvada.com/" TargetMode="External"/><Relationship Id="rId11" Type="http://schemas.openxmlformats.org/officeDocument/2006/relationships/hyperlink" Target="http://www.who.int/hiv/pub/mtct/programmatic_update_tasp/en/" TargetMode="External"/><Relationship Id="rId5" Type="http://schemas.openxmlformats.org/officeDocument/2006/relationships/hyperlink" Target="http://www.who.int/hiv/pub/guidance_prep/en/" TargetMode="External"/><Relationship Id="rId15" Type="http://schemas.openxmlformats.org/officeDocument/2006/relationships/hyperlink" Target="https://www2.health.vic.gov.au/about/publications/policiesandguidelines/victorian-npep-guidelines" TargetMode="External"/><Relationship Id="rId10" Type="http://schemas.openxmlformats.org/officeDocument/2006/relationships/hyperlink" Target="http://www.tga.gov.au/sites/default/files/access-personal-import-guidelines.pdf" TargetMode="External"/><Relationship Id="rId19" Type="http://schemas.openxmlformats.org/officeDocument/2006/relationships/hyperlink" Target="http://www.truvadapreprems.com/truvadaprep-safety-profile" TargetMode="External"/><Relationship Id="rId4" Type="http://schemas.openxmlformats.org/officeDocument/2006/relationships/hyperlink" Target="http://www.thelancet.com/journals/laninf/article/PIIS1473-3099(14)70847-3/abstract" TargetMode="External"/><Relationship Id="rId9" Type="http://schemas.openxmlformats.org/officeDocument/2006/relationships/hyperlink" Target="http://www.who.int/hiv/pub/guidelines/earlyrelease-arv/en/" TargetMode="External"/><Relationship Id="rId14" Type="http://schemas.openxmlformats.org/officeDocument/2006/relationships/hyperlink" Target="https://jamanetwork.com/journals/jama/fullarticle/253306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O:\hav\Communications,%20Marketing%20and%20Media\templates\New%20Templates%202016\Public%20HS%20A4%20Cover%20Sheet%20Custom%20Header%20No%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49EB6-A603-4EF0-8F7C-7F191F59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 HS A4 Cover Sheet Custom Header No Images.dotx</Template>
  <TotalTime>121</TotalTime>
  <Pages>22</Pages>
  <Words>6230</Words>
  <Characters>35511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41658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Noakes, Frank C</dc:creator>
  <cp:lastModifiedBy>Noakes, Frank C</cp:lastModifiedBy>
  <cp:revision>24</cp:revision>
  <cp:lastPrinted>2014-01-14T03:33:00Z</cp:lastPrinted>
  <dcterms:created xsi:type="dcterms:W3CDTF">2018-04-10T01:11:00Z</dcterms:created>
  <dcterms:modified xsi:type="dcterms:W3CDTF">2018-04-17T00:20:00Z</dcterms:modified>
</cp:coreProperties>
</file>