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4"/>
        <w:gridCol w:w="3084"/>
      </w:tblGrid>
      <w:tr w:rsidR="00B833F7" w:rsidRPr="008A14BF" w14:paraId="173AED85" w14:textId="77777777" w:rsidTr="00D40E12">
        <w:tc>
          <w:tcPr>
            <w:tcW w:w="6744" w:type="dxa"/>
            <w:tcBorders>
              <w:top w:val="nil"/>
              <w:left w:val="nil"/>
              <w:bottom w:val="nil"/>
              <w:right w:val="nil"/>
            </w:tcBorders>
          </w:tcPr>
          <w:p w14:paraId="28017938" w14:textId="77777777" w:rsidR="00B833F7" w:rsidRPr="008A14BF" w:rsidRDefault="00B833F7" w:rsidP="00D40E12">
            <w:pPr>
              <w:pStyle w:val="DepartmentTitle"/>
              <w:tabs>
                <w:tab w:val="left" w:pos="425"/>
              </w:tabs>
            </w:pPr>
            <w:bookmarkStart w:id="0" w:name="bmTop"/>
            <w:bookmarkEnd w:id="0"/>
            <w:r w:rsidRPr="008A14BF">
              <w:t xml:space="preserve">Department of Health </w:t>
            </w:r>
          </w:p>
          <w:p w14:paraId="5B941ECD" w14:textId="77777777" w:rsidR="00B833F7" w:rsidRPr="008A14BF" w:rsidRDefault="00B833F7" w:rsidP="00D40E12">
            <w:pPr>
              <w:pStyle w:val="Sub-branch"/>
              <w:tabs>
                <w:tab w:val="left" w:pos="425"/>
              </w:tabs>
            </w:pPr>
          </w:p>
        </w:tc>
        <w:tc>
          <w:tcPr>
            <w:tcW w:w="3084" w:type="dxa"/>
            <w:tcBorders>
              <w:top w:val="nil"/>
              <w:left w:val="nil"/>
              <w:bottom w:val="nil"/>
              <w:right w:val="nil"/>
            </w:tcBorders>
          </w:tcPr>
          <w:p w14:paraId="5C6E86EC" w14:textId="77777777" w:rsidR="00B833F7" w:rsidRPr="008A14BF" w:rsidRDefault="00B833F7" w:rsidP="00D40E12">
            <w:pPr>
              <w:pStyle w:val="Logo"/>
              <w:tabs>
                <w:tab w:val="left" w:pos="425"/>
                <w:tab w:val="left" w:pos="8280"/>
                <w:tab w:val="left" w:pos="9180"/>
              </w:tabs>
              <w:spacing w:after="240"/>
            </w:pPr>
            <w:r>
              <w:rPr>
                <w:noProof/>
                <w:lang w:eastAsia="en-AU"/>
              </w:rPr>
              <w:drawing>
                <wp:inline distT="0" distB="0" distL="0" distR="0" wp14:anchorId="4AB6BC5E" wp14:editId="5F652CB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42BFBC49" w14:textId="048D2E8F" w:rsidR="003E6820" w:rsidRPr="003E6820" w:rsidRDefault="00436D4E" w:rsidP="007C5B2F">
      <w:pPr>
        <w:pStyle w:val="Heading1"/>
        <w:spacing w:before="60" w:after="60"/>
        <w:rPr>
          <w:b/>
          <w:bCs/>
          <w:sz w:val="36"/>
          <w:szCs w:val="36"/>
          <w:lang w:val="en-AU"/>
        </w:rPr>
      </w:pPr>
      <w:r>
        <w:rPr>
          <w:b/>
          <w:bCs/>
          <w:sz w:val="36"/>
          <w:szCs w:val="36"/>
          <w:lang w:val="en-AU"/>
        </w:rPr>
        <w:t xml:space="preserve">Procedure for </w:t>
      </w:r>
      <w:r w:rsidR="003E6820" w:rsidRPr="003E6820">
        <w:rPr>
          <w:b/>
          <w:bCs/>
          <w:sz w:val="36"/>
          <w:szCs w:val="36"/>
          <w:lang w:val="en-AU"/>
        </w:rPr>
        <w:t>Delivery of Opioid Replacement Therapy</w:t>
      </w:r>
      <w:r w:rsidR="00340776">
        <w:rPr>
          <w:b/>
          <w:bCs/>
          <w:sz w:val="36"/>
          <w:szCs w:val="36"/>
          <w:lang w:val="en-AU"/>
        </w:rPr>
        <w:t xml:space="preserve"> to State</w:t>
      </w:r>
      <w:r w:rsidR="00340776">
        <w:rPr>
          <w:b/>
          <w:bCs/>
          <w:sz w:val="36"/>
          <w:szCs w:val="36"/>
          <w:lang w:val="en-AU"/>
        </w:rPr>
        <w:noBreakHyphen/>
        <w:t>run quarantine facility or private residence</w:t>
      </w:r>
    </w:p>
    <w:p w14:paraId="025D0DCA" w14:textId="4FBDE324" w:rsidR="007A2182" w:rsidRPr="007C5B2F" w:rsidRDefault="00D87372" w:rsidP="007C5B2F">
      <w:pPr>
        <w:pStyle w:val="Heading1"/>
      </w:pPr>
      <w:r w:rsidRPr="007C5B2F">
        <w:t>Purpose of document:</w:t>
      </w:r>
    </w:p>
    <w:p w14:paraId="2F35CECE" w14:textId="6CB4A496" w:rsidR="00B02FBF" w:rsidRDefault="00C928FD" w:rsidP="007C5B2F">
      <w:pPr>
        <w:spacing w:before="60" w:after="60"/>
        <w:rPr>
          <w:lang w:val="en-AU"/>
        </w:rPr>
      </w:pPr>
      <w:r w:rsidRPr="00C928FD">
        <w:rPr>
          <w:lang w:val="en-AU"/>
        </w:rPr>
        <w:t xml:space="preserve">Opioid replacement therapy (ORT) is used in the treatment of opioid misuse disorder. In usual circumstances, ORT </w:t>
      </w:r>
      <w:r w:rsidR="00081790">
        <w:rPr>
          <w:lang w:val="en-AU"/>
        </w:rPr>
        <w:t xml:space="preserve">is </w:t>
      </w:r>
      <w:r w:rsidR="00CF60C6">
        <w:rPr>
          <w:lang w:val="en-AU"/>
        </w:rPr>
        <w:t>administered in a pharmacy</w:t>
      </w:r>
      <w:r w:rsidR="00A872A3">
        <w:rPr>
          <w:lang w:val="en-AU"/>
        </w:rPr>
        <w:t xml:space="preserve"> or other health setting, </w:t>
      </w:r>
      <w:r w:rsidRPr="00C928FD">
        <w:rPr>
          <w:lang w:val="en-AU"/>
        </w:rPr>
        <w:t>with dosage supervised</w:t>
      </w:r>
      <w:r w:rsidR="00A872A3">
        <w:rPr>
          <w:lang w:val="en-AU"/>
        </w:rPr>
        <w:t xml:space="preserve"> by the dispensing agent or another health professional</w:t>
      </w:r>
      <w:r w:rsidR="001114B5">
        <w:rPr>
          <w:lang w:val="en-AU"/>
        </w:rPr>
        <w:t xml:space="preserve">, </w:t>
      </w:r>
      <w:r w:rsidR="00A4414D">
        <w:rPr>
          <w:lang w:val="en-AU"/>
        </w:rPr>
        <w:t xml:space="preserve">as per </w:t>
      </w:r>
      <w:r w:rsidR="001114B5">
        <w:rPr>
          <w:lang w:val="en-AU"/>
        </w:rPr>
        <w:t xml:space="preserve">the </w:t>
      </w:r>
      <w:hyperlink r:id="rId12" w:history="1">
        <w:r w:rsidR="001114B5" w:rsidRPr="00D96403">
          <w:rPr>
            <w:rStyle w:val="Hyperlink"/>
            <w:lang w:val="en-AU"/>
          </w:rPr>
          <w:t>Tasmanian Opioid</w:t>
        </w:r>
        <w:r w:rsidR="00D96403" w:rsidRPr="00D96403">
          <w:rPr>
            <w:rStyle w:val="Hyperlink"/>
            <w:lang w:val="en-AU"/>
          </w:rPr>
          <w:t xml:space="preserve"> Pharmacotherapy Program (TOPP) Policy and Clinical </w:t>
        </w:r>
        <w:r w:rsidR="009A6665" w:rsidRPr="00D96403">
          <w:rPr>
            <w:rStyle w:val="Hyperlink"/>
            <w:lang w:val="en-AU"/>
          </w:rPr>
          <w:t>Practi</w:t>
        </w:r>
        <w:r w:rsidR="009A6665">
          <w:rPr>
            <w:rStyle w:val="Hyperlink"/>
            <w:lang w:val="en-AU"/>
          </w:rPr>
          <w:t>c</w:t>
        </w:r>
        <w:r w:rsidR="009A6665" w:rsidRPr="00D96403">
          <w:rPr>
            <w:rStyle w:val="Hyperlink"/>
            <w:lang w:val="en-AU"/>
          </w:rPr>
          <w:t xml:space="preserve">e </w:t>
        </w:r>
        <w:r w:rsidR="00D96403" w:rsidRPr="00D96403">
          <w:rPr>
            <w:rStyle w:val="Hyperlink"/>
            <w:lang w:val="en-AU"/>
          </w:rPr>
          <w:t>Standards</w:t>
        </w:r>
      </w:hyperlink>
      <w:r w:rsidRPr="00C928FD">
        <w:rPr>
          <w:lang w:val="en-AU"/>
        </w:rPr>
        <w:t xml:space="preserve">. </w:t>
      </w:r>
    </w:p>
    <w:p w14:paraId="4946CB7C" w14:textId="73238CED" w:rsidR="000F0062" w:rsidRDefault="00C928FD" w:rsidP="007C5B2F">
      <w:pPr>
        <w:spacing w:before="60" w:after="60"/>
        <w:rPr>
          <w:lang w:val="en-AU"/>
        </w:rPr>
      </w:pPr>
      <w:r w:rsidRPr="00C928FD">
        <w:rPr>
          <w:lang w:val="en-AU"/>
        </w:rPr>
        <w:t xml:space="preserve">This </w:t>
      </w:r>
      <w:r w:rsidR="00A4414D">
        <w:rPr>
          <w:lang w:val="en-AU"/>
        </w:rPr>
        <w:t>Procedure</w:t>
      </w:r>
      <w:r w:rsidRPr="00C928FD">
        <w:rPr>
          <w:lang w:val="en-AU"/>
        </w:rPr>
        <w:t xml:space="preserve"> is to be used </w:t>
      </w:r>
      <w:proofErr w:type="gramStart"/>
      <w:r w:rsidRPr="00C928FD">
        <w:rPr>
          <w:lang w:val="en-AU"/>
        </w:rPr>
        <w:t>in the event that</w:t>
      </w:r>
      <w:proofErr w:type="gramEnd"/>
      <w:r w:rsidRPr="00C928FD">
        <w:rPr>
          <w:lang w:val="en-AU"/>
        </w:rPr>
        <w:t xml:space="preserve"> a </w:t>
      </w:r>
      <w:r w:rsidR="00234FFA">
        <w:rPr>
          <w:lang w:val="en-AU"/>
        </w:rPr>
        <w:t>person</w:t>
      </w:r>
      <w:r w:rsidR="00D96403">
        <w:rPr>
          <w:lang w:val="en-AU"/>
        </w:rPr>
        <w:t xml:space="preserve"> receiving ORT</w:t>
      </w:r>
      <w:r w:rsidRPr="00C928FD">
        <w:rPr>
          <w:lang w:val="en-AU"/>
        </w:rPr>
        <w:t xml:space="preserve"> cannot attend a pharmacy or other dispensing site due to </w:t>
      </w:r>
      <w:r w:rsidR="002B0F85">
        <w:rPr>
          <w:lang w:val="en-AU"/>
        </w:rPr>
        <w:t xml:space="preserve">infectious disease pandemics or outbreaks, </w:t>
      </w:r>
      <w:r w:rsidRPr="00C928FD">
        <w:rPr>
          <w:lang w:val="en-AU"/>
        </w:rPr>
        <w:t xml:space="preserve">or </w:t>
      </w:r>
      <w:r w:rsidR="00B857FD">
        <w:rPr>
          <w:lang w:val="en-AU"/>
        </w:rPr>
        <w:t xml:space="preserve">circumstances </w:t>
      </w:r>
      <w:r w:rsidRPr="00C928FD">
        <w:rPr>
          <w:lang w:val="en-AU"/>
        </w:rPr>
        <w:t>related</w:t>
      </w:r>
      <w:r w:rsidR="00B857FD">
        <w:rPr>
          <w:lang w:val="en-AU"/>
        </w:rPr>
        <w:t xml:space="preserve"> to these</w:t>
      </w:r>
      <w:r w:rsidR="00A4414D">
        <w:rPr>
          <w:lang w:val="en-AU"/>
        </w:rPr>
        <w:t>, such as vulnerability to infection or illness</w:t>
      </w:r>
      <w:r w:rsidRPr="00C928FD">
        <w:rPr>
          <w:lang w:val="en-AU"/>
        </w:rPr>
        <w:t xml:space="preserve">. </w:t>
      </w:r>
    </w:p>
    <w:p w14:paraId="5DF412F8" w14:textId="77777777" w:rsidR="004C1D72" w:rsidRDefault="004807B2" w:rsidP="007C5B2F">
      <w:pPr>
        <w:spacing w:before="60" w:after="60"/>
        <w:rPr>
          <w:lang w:val="en-AU"/>
        </w:rPr>
      </w:pPr>
      <w:r>
        <w:rPr>
          <w:lang w:val="en-AU"/>
        </w:rPr>
        <w:t>This Procedure appl</w:t>
      </w:r>
      <w:r w:rsidR="00B579AE">
        <w:rPr>
          <w:lang w:val="en-AU"/>
        </w:rPr>
        <w:t xml:space="preserve">ies </w:t>
      </w:r>
      <w:r>
        <w:rPr>
          <w:lang w:val="en-AU"/>
        </w:rPr>
        <w:t xml:space="preserve">to the delivery of </w:t>
      </w:r>
      <w:r w:rsidR="00B579AE">
        <w:rPr>
          <w:lang w:val="en-AU"/>
        </w:rPr>
        <w:t>ORT by a pharmacy or their agent</w:t>
      </w:r>
      <w:r w:rsidR="00FC5505">
        <w:rPr>
          <w:lang w:val="en-AU"/>
        </w:rPr>
        <w:t xml:space="preserve">, or other provider contracted by the Tasmanian Alcohol and Drug Services, or the Department of Health </w:t>
      </w:r>
      <w:r w:rsidR="004C1D72">
        <w:rPr>
          <w:lang w:val="en-AU"/>
        </w:rPr>
        <w:t xml:space="preserve">Mental Health, Alcohol and Drug Directorate. </w:t>
      </w:r>
    </w:p>
    <w:p w14:paraId="35E246D3" w14:textId="7B24B1F8" w:rsidR="004807B2" w:rsidRDefault="004C1D72" w:rsidP="007C5B2F">
      <w:pPr>
        <w:spacing w:before="60" w:after="60"/>
        <w:rPr>
          <w:lang w:val="en-AU"/>
        </w:rPr>
      </w:pPr>
      <w:r>
        <w:rPr>
          <w:lang w:val="en-AU"/>
        </w:rPr>
        <w:t xml:space="preserve">This Procedure does not apply to the delivery of </w:t>
      </w:r>
      <w:r w:rsidR="004807B2">
        <w:rPr>
          <w:lang w:val="en-AU"/>
        </w:rPr>
        <w:t xml:space="preserve">ORT by </w:t>
      </w:r>
      <w:r>
        <w:rPr>
          <w:lang w:val="en-AU"/>
        </w:rPr>
        <w:t xml:space="preserve">other </w:t>
      </w:r>
      <w:r w:rsidR="004807B2">
        <w:rPr>
          <w:lang w:val="en-AU"/>
        </w:rPr>
        <w:t xml:space="preserve">agents (which may include family members, </w:t>
      </w:r>
      <w:proofErr w:type="gramStart"/>
      <w:r w:rsidR="004807B2">
        <w:rPr>
          <w:lang w:val="en-AU"/>
        </w:rPr>
        <w:t>friends</w:t>
      </w:r>
      <w:proofErr w:type="gramEnd"/>
      <w:r w:rsidR="004807B2">
        <w:rPr>
          <w:lang w:val="en-AU"/>
        </w:rPr>
        <w:t xml:space="preserve"> or carers). </w:t>
      </w:r>
    </w:p>
    <w:p w14:paraId="0FD27362" w14:textId="16569913" w:rsidR="008D72F0" w:rsidRPr="007C5B2F" w:rsidRDefault="008D72F0" w:rsidP="007C5B2F">
      <w:pPr>
        <w:pStyle w:val="Heading1"/>
      </w:pPr>
      <w:r w:rsidRPr="007C5B2F">
        <w:t>Introduction</w:t>
      </w:r>
    </w:p>
    <w:p w14:paraId="5FB9D294" w14:textId="076166D5" w:rsidR="008C3B46" w:rsidRDefault="001D7332" w:rsidP="007C5B2F">
      <w:pPr>
        <w:spacing w:before="60" w:after="60"/>
        <w:rPr>
          <w:lang w:val="en-AU"/>
        </w:rPr>
      </w:pPr>
      <w:r w:rsidRPr="00C928FD">
        <w:rPr>
          <w:lang w:val="en-AU"/>
        </w:rPr>
        <w:t xml:space="preserve">Opioid replacement therapy (ORT) is used in the treatment of opioid misuse disorder. In usual circumstances, ORT </w:t>
      </w:r>
      <w:r w:rsidR="00F349F7">
        <w:rPr>
          <w:lang w:val="en-AU"/>
        </w:rPr>
        <w:t xml:space="preserve">in Tasmania </w:t>
      </w:r>
      <w:r w:rsidRPr="00C928FD">
        <w:rPr>
          <w:lang w:val="en-AU"/>
        </w:rPr>
        <w:t>is</w:t>
      </w:r>
      <w:r w:rsidR="0035411D">
        <w:rPr>
          <w:lang w:val="en-AU"/>
        </w:rPr>
        <w:t xml:space="preserve"> administered</w:t>
      </w:r>
      <w:r w:rsidRPr="00C928FD">
        <w:rPr>
          <w:lang w:val="en-AU"/>
        </w:rPr>
        <w:t xml:space="preserve"> </w:t>
      </w:r>
      <w:r>
        <w:rPr>
          <w:lang w:val="en-AU"/>
        </w:rPr>
        <w:t xml:space="preserve">in line with the </w:t>
      </w:r>
      <w:r w:rsidRPr="000D6D3F">
        <w:rPr>
          <w:lang w:val="en-AU"/>
        </w:rPr>
        <w:t>TOPP Policy and Clinical Practi</w:t>
      </w:r>
      <w:r w:rsidR="00F349F7" w:rsidRPr="000D6D3F">
        <w:rPr>
          <w:lang w:val="en-AU"/>
        </w:rPr>
        <w:t>c</w:t>
      </w:r>
      <w:r w:rsidRPr="000D6D3F">
        <w:rPr>
          <w:lang w:val="en-AU"/>
        </w:rPr>
        <w:t>e Standards</w:t>
      </w:r>
      <w:r w:rsidR="00F349F7">
        <w:rPr>
          <w:lang w:val="en-AU"/>
        </w:rPr>
        <w:t>, which outline</w:t>
      </w:r>
      <w:r w:rsidR="008C3B46">
        <w:rPr>
          <w:lang w:val="en-AU"/>
        </w:rPr>
        <w:t xml:space="preserve"> eligibility, prescribing and dosing requirements and other matters relevant to the </w:t>
      </w:r>
      <w:r w:rsidR="000D2D87">
        <w:rPr>
          <w:lang w:val="en-AU"/>
        </w:rPr>
        <w:t>administration</w:t>
      </w:r>
      <w:r w:rsidR="008C3B46">
        <w:rPr>
          <w:lang w:val="en-AU"/>
        </w:rPr>
        <w:t xml:space="preserve"> of ORT. </w:t>
      </w:r>
    </w:p>
    <w:p w14:paraId="006F6F7F" w14:textId="5F32E92C" w:rsidR="00CF60C6" w:rsidRDefault="008C3B46" w:rsidP="007C5B2F">
      <w:pPr>
        <w:spacing w:before="60" w:after="60"/>
        <w:rPr>
          <w:lang w:val="en-AU"/>
        </w:rPr>
      </w:pPr>
      <w:r>
        <w:rPr>
          <w:lang w:val="en-AU"/>
        </w:rPr>
        <w:t xml:space="preserve">In usual circumstances, ORT is </w:t>
      </w:r>
      <w:r w:rsidRPr="00C928FD">
        <w:rPr>
          <w:lang w:val="en-AU"/>
        </w:rPr>
        <w:t xml:space="preserve">dispensed by a pharmacist with </w:t>
      </w:r>
      <w:r w:rsidR="00234FFA">
        <w:rPr>
          <w:lang w:val="en-AU"/>
        </w:rPr>
        <w:t>medication</w:t>
      </w:r>
      <w:r w:rsidRPr="00C928FD">
        <w:rPr>
          <w:lang w:val="en-AU"/>
        </w:rPr>
        <w:t xml:space="preserve"> dosage supervised</w:t>
      </w:r>
      <w:r>
        <w:rPr>
          <w:lang w:val="en-AU"/>
        </w:rPr>
        <w:t xml:space="preserve"> by the dispensing agent</w:t>
      </w:r>
      <w:r w:rsidR="000D2D87">
        <w:rPr>
          <w:lang w:val="en-AU"/>
        </w:rPr>
        <w:t>, in a pharmacy or other health setting</w:t>
      </w:r>
      <w:r>
        <w:rPr>
          <w:lang w:val="en-AU"/>
        </w:rPr>
        <w:t xml:space="preserve">. </w:t>
      </w:r>
    </w:p>
    <w:p w14:paraId="5B48464D" w14:textId="4F62BCDD" w:rsidR="00E94DFB" w:rsidRDefault="00E94DFB" w:rsidP="007C5B2F">
      <w:pPr>
        <w:spacing w:before="60" w:after="60"/>
        <w:rPr>
          <w:lang w:val="en-AU"/>
        </w:rPr>
      </w:pPr>
      <w:r>
        <w:rPr>
          <w:lang w:val="en-AU"/>
        </w:rPr>
        <w:t xml:space="preserve">There may be situations and contexts in which a person cannot attend a pharmacy to receive their ORT dose. </w:t>
      </w:r>
      <w:r w:rsidR="00464BF1">
        <w:rPr>
          <w:lang w:val="en-AU"/>
        </w:rPr>
        <w:t xml:space="preserve">In these circumstances, there are </w:t>
      </w:r>
      <w:r w:rsidR="00E01FF4">
        <w:rPr>
          <w:lang w:val="en-AU"/>
        </w:rPr>
        <w:t>several</w:t>
      </w:r>
      <w:r w:rsidR="00464BF1">
        <w:rPr>
          <w:lang w:val="en-AU"/>
        </w:rPr>
        <w:t xml:space="preserve"> options available to the prescribing and dispensing agent</w:t>
      </w:r>
      <w:r w:rsidR="00E01FF4">
        <w:rPr>
          <w:lang w:val="en-AU"/>
        </w:rPr>
        <w:t>(</w:t>
      </w:r>
      <w:r w:rsidR="00464BF1">
        <w:rPr>
          <w:lang w:val="en-AU"/>
        </w:rPr>
        <w:t>s</w:t>
      </w:r>
      <w:r w:rsidR="00E01FF4">
        <w:rPr>
          <w:lang w:val="en-AU"/>
        </w:rPr>
        <w:t>)</w:t>
      </w:r>
      <w:r w:rsidR="00464BF1">
        <w:rPr>
          <w:lang w:val="en-AU"/>
        </w:rPr>
        <w:t>. These include takeaway doses, and delivery of ORT</w:t>
      </w:r>
      <w:r w:rsidR="00053BFF">
        <w:rPr>
          <w:lang w:val="en-AU"/>
        </w:rPr>
        <w:t xml:space="preserve"> to a State</w:t>
      </w:r>
      <w:r w:rsidR="00053BFF">
        <w:rPr>
          <w:lang w:val="en-AU"/>
        </w:rPr>
        <w:noBreakHyphen/>
        <w:t>run quarantine facility or private residence</w:t>
      </w:r>
      <w:r w:rsidR="00464BF1">
        <w:rPr>
          <w:lang w:val="en-AU"/>
        </w:rPr>
        <w:t>.</w:t>
      </w:r>
    </w:p>
    <w:p w14:paraId="6024E319" w14:textId="69F5B2BC" w:rsidR="00464BF1" w:rsidRDefault="00464BF1" w:rsidP="007C5B2F">
      <w:pPr>
        <w:spacing w:before="60" w:after="60"/>
        <w:rPr>
          <w:lang w:val="en-AU"/>
        </w:rPr>
      </w:pPr>
      <w:r>
        <w:rPr>
          <w:lang w:val="en-AU"/>
        </w:rPr>
        <w:t>Decisions regarding these options must be made in line with the TOPP Policy and Clinical Practi</w:t>
      </w:r>
      <w:r w:rsidR="00F349F7">
        <w:rPr>
          <w:lang w:val="en-AU"/>
        </w:rPr>
        <w:t>c</w:t>
      </w:r>
      <w:r>
        <w:rPr>
          <w:lang w:val="en-AU"/>
        </w:rPr>
        <w:t>e Standards,</w:t>
      </w:r>
      <w:r w:rsidR="00D814D6">
        <w:rPr>
          <w:lang w:val="en-AU"/>
        </w:rPr>
        <w:t xml:space="preserve"> </w:t>
      </w:r>
      <w:r w:rsidR="009D4777">
        <w:rPr>
          <w:lang w:val="en-AU"/>
        </w:rPr>
        <w:t xml:space="preserve">consider </w:t>
      </w:r>
      <w:r w:rsidR="00D814D6">
        <w:rPr>
          <w:lang w:val="en-AU"/>
        </w:rPr>
        <w:t>any relevant Clinical Practice Guidelines or directions issued by the AD</w:t>
      </w:r>
      <w:r w:rsidR="009D4777">
        <w:rPr>
          <w:lang w:val="en-AU"/>
        </w:rPr>
        <w:t xml:space="preserve">S Clinical Director, </w:t>
      </w:r>
      <w:r w:rsidR="00EF1771">
        <w:rPr>
          <w:lang w:val="en-AU"/>
        </w:rPr>
        <w:t xml:space="preserve">and </w:t>
      </w:r>
      <w:r w:rsidR="009D4777">
        <w:rPr>
          <w:lang w:val="en-AU"/>
        </w:rPr>
        <w:t xml:space="preserve">be </w:t>
      </w:r>
      <w:r w:rsidR="00EF1771">
        <w:rPr>
          <w:lang w:val="en-AU"/>
        </w:rPr>
        <w:t>authorised by</w:t>
      </w:r>
      <w:r>
        <w:rPr>
          <w:lang w:val="en-AU"/>
        </w:rPr>
        <w:t xml:space="preserve"> the </w:t>
      </w:r>
      <w:r w:rsidR="00F349F7">
        <w:rPr>
          <w:lang w:val="en-AU"/>
        </w:rPr>
        <w:t>patient’s prescriber</w:t>
      </w:r>
      <w:r>
        <w:rPr>
          <w:lang w:val="en-AU"/>
        </w:rPr>
        <w:t>.</w:t>
      </w:r>
      <w:r w:rsidR="00F349F7">
        <w:rPr>
          <w:lang w:val="en-AU"/>
        </w:rPr>
        <w:t xml:space="preserve"> </w:t>
      </w:r>
    </w:p>
    <w:p w14:paraId="38BE388F" w14:textId="466734AA" w:rsidR="00EF699A" w:rsidRDefault="00053BFF" w:rsidP="007C5B2F">
      <w:pPr>
        <w:spacing w:before="60" w:after="60"/>
      </w:pPr>
      <w:r>
        <w:t xml:space="preserve">The Royal Australian College of Physicians </w:t>
      </w:r>
      <w:r w:rsidR="000C26AB">
        <w:t xml:space="preserve">(RACP) </w:t>
      </w:r>
      <w:r>
        <w:t xml:space="preserve">have released the </w:t>
      </w:r>
      <w:hyperlink r:id="rId13" w:history="1">
        <w:r w:rsidR="001D7332" w:rsidRPr="009F5908">
          <w:rPr>
            <w:rStyle w:val="Hyperlink"/>
          </w:rPr>
          <w:t>Interim guidance for the delivery of medication assisted treatment of opioid dependence in response to COVID-19: a national response</w:t>
        </w:r>
      </w:hyperlink>
      <w:r w:rsidR="00EF699A">
        <w:t xml:space="preserve">, which </w:t>
      </w:r>
      <w:r w:rsidR="0085455E">
        <w:t xml:space="preserve">outlines some considerations </w:t>
      </w:r>
      <w:r w:rsidR="00EF699A">
        <w:t xml:space="preserve">and recommendations </w:t>
      </w:r>
      <w:r w:rsidR="0085455E">
        <w:t>for ORT administration in the context of the COVID</w:t>
      </w:r>
      <w:r w:rsidR="0085455E">
        <w:noBreakHyphen/>
        <w:t>19 pandemic</w:t>
      </w:r>
      <w:r w:rsidR="00734DCB">
        <w:t>.</w:t>
      </w:r>
      <w:r w:rsidR="001D7332">
        <w:t xml:space="preserve"> </w:t>
      </w:r>
    </w:p>
    <w:p w14:paraId="3F6315E8" w14:textId="56B9B74C" w:rsidR="00A61A5E" w:rsidRDefault="00734DCB" w:rsidP="007C5B2F">
      <w:pPr>
        <w:spacing w:before="60" w:after="60"/>
        <w:rPr>
          <w:lang w:val="en-AU"/>
        </w:rPr>
      </w:pPr>
      <w:r>
        <w:rPr>
          <w:lang w:val="en-AU"/>
        </w:rPr>
        <w:lastRenderedPageBreak/>
        <w:t xml:space="preserve">In this document, </w:t>
      </w:r>
      <w:r w:rsidR="00EF699A">
        <w:rPr>
          <w:lang w:val="en-AU"/>
        </w:rPr>
        <w:t xml:space="preserve">the RACP recommend that </w:t>
      </w:r>
      <w:r w:rsidR="00C50845">
        <w:rPr>
          <w:lang w:val="en-AU"/>
        </w:rPr>
        <w:t xml:space="preserve">ORT </w:t>
      </w:r>
      <w:r w:rsidR="00EF699A">
        <w:rPr>
          <w:lang w:val="en-AU"/>
        </w:rPr>
        <w:t xml:space="preserve">delivery to a private residence is undertaken by </w:t>
      </w:r>
      <w:r w:rsidR="001D7332">
        <w:rPr>
          <w:lang w:val="en-AU"/>
        </w:rPr>
        <w:t>two staff members</w:t>
      </w:r>
      <w:r w:rsidR="00EF699A">
        <w:rPr>
          <w:lang w:val="en-AU"/>
        </w:rPr>
        <w:t>, and that a</w:t>
      </w:r>
      <w:r w:rsidR="001D7332">
        <w:rPr>
          <w:lang w:val="en-AU"/>
        </w:rPr>
        <w:t xml:space="preserve">t least one of these should be a health professional, such as a pharmacist, </w:t>
      </w:r>
      <w:proofErr w:type="gramStart"/>
      <w:r w:rsidR="001D7332">
        <w:rPr>
          <w:lang w:val="en-AU"/>
        </w:rPr>
        <w:t>nurse</w:t>
      </w:r>
      <w:proofErr w:type="gramEnd"/>
      <w:r w:rsidR="001D7332">
        <w:rPr>
          <w:lang w:val="en-AU"/>
        </w:rPr>
        <w:t xml:space="preserve"> or doctor. </w:t>
      </w:r>
      <w:r w:rsidR="00A61A5E">
        <w:rPr>
          <w:lang w:val="en-AU"/>
        </w:rPr>
        <w:t>In the context of a person receiving ORT in State</w:t>
      </w:r>
      <w:r w:rsidR="00A61A5E">
        <w:rPr>
          <w:lang w:val="en-AU"/>
        </w:rPr>
        <w:noBreakHyphen/>
        <w:t xml:space="preserve">run quarantine, it is unlikely that two people will be required to undertake delivery. </w:t>
      </w:r>
    </w:p>
    <w:p w14:paraId="2F88602E" w14:textId="6033899A" w:rsidR="00296A8A" w:rsidRDefault="00296A8A" w:rsidP="007C5B2F">
      <w:pPr>
        <w:spacing w:before="60" w:after="60"/>
        <w:rPr>
          <w:lang w:val="en-AU"/>
        </w:rPr>
      </w:pPr>
      <w:r>
        <w:rPr>
          <w:lang w:val="en-AU"/>
        </w:rPr>
        <w:t>Th</w:t>
      </w:r>
      <w:r w:rsidR="00A61A5E">
        <w:rPr>
          <w:lang w:val="en-AU"/>
        </w:rPr>
        <w:t xml:space="preserve">e RACP </w:t>
      </w:r>
      <w:r w:rsidR="00765FF0">
        <w:rPr>
          <w:lang w:val="en-AU"/>
        </w:rPr>
        <w:t xml:space="preserve">interim </w:t>
      </w:r>
      <w:r>
        <w:rPr>
          <w:lang w:val="en-AU"/>
        </w:rPr>
        <w:t xml:space="preserve">guidance document also highlights that community pharmacies may have existing mechanisms for home delivery of medications that can be utilised for this purpose, </w:t>
      </w:r>
      <w:r w:rsidR="005C57CB">
        <w:rPr>
          <w:lang w:val="en-AU"/>
        </w:rPr>
        <w:t>and that these should also be followed for ORT delivery wherever possible</w:t>
      </w:r>
      <w:r w:rsidR="00065532">
        <w:rPr>
          <w:lang w:val="en-AU"/>
        </w:rPr>
        <w:t xml:space="preserve">. This includes compliance with any relevant legislation, </w:t>
      </w:r>
      <w:proofErr w:type="gramStart"/>
      <w:r w:rsidR="00065532">
        <w:rPr>
          <w:lang w:val="en-AU"/>
        </w:rPr>
        <w:t>regulations</w:t>
      </w:r>
      <w:proofErr w:type="gramEnd"/>
      <w:r w:rsidR="00065532">
        <w:rPr>
          <w:lang w:val="en-AU"/>
        </w:rPr>
        <w:t xml:space="preserve"> or policy</w:t>
      </w:r>
      <w:r w:rsidR="00EB0A7C">
        <w:rPr>
          <w:lang w:val="en-AU"/>
        </w:rPr>
        <w:t xml:space="preserve"> regarding the prescription, dispensing, storage or transport of medication.</w:t>
      </w:r>
    </w:p>
    <w:p w14:paraId="36D9830D" w14:textId="48AD9C68" w:rsidR="00EB0A7C" w:rsidRDefault="00EB0A7C" w:rsidP="007C5B2F">
      <w:pPr>
        <w:spacing w:before="60" w:after="60"/>
        <w:rPr>
          <w:lang w:val="en-AU"/>
        </w:rPr>
      </w:pPr>
      <w:r>
        <w:rPr>
          <w:lang w:val="en-AU"/>
        </w:rPr>
        <w:t>In Tasmania, this includes</w:t>
      </w:r>
      <w:r w:rsidR="00235BF1">
        <w:rPr>
          <w:lang w:val="en-AU"/>
        </w:rPr>
        <w:t>, but is not limited to,</w:t>
      </w:r>
      <w:r>
        <w:rPr>
          <w:lang w:val="en-AU"/>
        </w:rPr>
        <w:t xml:space="preserve"> the </w:t>
      </w:r>
      <w:hyperlink r:id="rId14" w:history="1">
        <w:r w:rsidR="00235BF1" w:rsidRPr="00A47809">
          <w:rPr>
            <w:rStyle w:val="Hyperlink"/>
            <w:i/>
            <w:iCs/>
            <w:lang w:val="en-AU"/>
          </w:rPr>
          <w:t>Poisons Act 1971</w:t>
        </w:r>
      </w:hyperlink>
      <w:r w:rsidR="00235BF1">
        <w:rPr>
          <w:lang w:val="en-AU"/>
        </w:rPr>
        <w:t xml:space="preserve">, </w:t>
      </w:r>
      <w:hyperlink r:id="rId15" w:history="1">
        <w:r w:rsidR="00235BF1" w:rsidRPr="005E0732">
          <w:rPr>
            <w:rStyle w:val="Hyperlink"/>
            <w:lang w:val="en-AU"/>
          </w:rPr>
          <w:t>Poisons Regulations 2018</w:t>
        </w:r>
      </w:hyperlink>
      <w:r w:rsidR="00235BF1">
        <w:rPr>
          <w:lang w:val="en-AU"/>
        </w:rPr>
        <w:t xml:space="preserve">, </w:t>
      </w:r>
      <w:hyperlink r:id="rId16" w:history="1">
        <w:r w:rsidR="00235BF1" w:rsidRPr="00244E02">
          <w:rPr>
            <w:rStyle w:val="Hyperlink"/>
            <w:lang w:val="en-AU"/>
          </w:rPr>
          <w:t>The Poisons Standard</w:t>
        </w:r>
      </w:hyperlink>
      <w:r w:rsidR="00235BF1">
        <w:rPr>
          <w:lang w:val="en-AU"/>
        </w:rPr>
        <w:t xml:space="preserve">, the </w:t>
      </w:r>
      <w:hyperlink r:id="rId17" w:history="1">
        <w:r w:rsidR="00235BF1" w:rsidRPr="006049D0">
          <w:rPr>
            <w:rStyle w:val="Hyperlink"/>
            <w:lang w:val="en-AU"/>
          </w:rPr>
          <w:t xml:space="preserve">Tasmanian Opioid Pharmacotherapy Program Policy and Clinical </w:t>
        </w:r>
        <w:r w:rsidR="00235BF1">
          <w:rPr>
            <w:rStyle w:val="Hyperlink"/>
            <w:lang w:val="en-AU"/>
          </w:rPr>
          <w:t>Practi</w:t>
        </w:r>
        <w:r w:rsidR="002B4AAB">
          <w:rPr>
            <w:rStyle w:val="Hyperlink"/>
            <w:lang w:val="en-AU"/>
          </w:rPr>
          <w:t>c</w:t>
        </w:r>
        <w:r w:rsidR="00235BF1">
          <w:rPr>
            <w:rStyle w:val="Hyperlink"/>
            <w:lang w:val="en-AU"/>
          </w:rPr>
          <w:t>e Standards</w:t>
        </w:r>
      </w:hyperlink>
      <w:r w:rsidR="00235BF1">
        <w:rPr>
          <w:lang w:val="en-AU"/>
        </w:rPr>
        <w:t>.</w:t>
      </w:r>
    </w:p>
    <w:p w14:paraId="71044683" w14:textId="30434474" w:rsidR="00216820" w:rsidRPr="007C5B2F" w:rsidRDefault="00216820" w:rsidP="007C5B2F">
      <w:pPr>
        <w:pStyle w:val="Heading1"/>
      </w:pPr>
      <w:r w:rsidRPr="007C5B2F">
        <w:t>Roles and Responsibilities</w:t>
      </w:r>
    </w:p>
    <w:p w14:paraId="3343E6DC" w14:textId="43C7CF91" w:rsidR="00B02302" w:rsidRDefault="00B02302" w:rsidP="007C5B2F">
      <w:pPr>
        <w:spacing w:before="60" w:after="60"/>
        <w:rPr>
          <w:lang w:val="en-AU"/>
        </w:rPr>
      </w:pPr>
      <w:r>
        <w:rPr>
          <w:lang w:val="en-AU"/>
        </w:rPr>
        <w:t xml:space="preserve">All parties </w:t>
      </w:r>
      <w:r w:rsidR="00225490">
        <w:rPr>
          <w:lang w:val="en-AU"/>
        </w:rPr>
        <w:t>must</w:t>
      </w:r>
      <w:r>
        <w:rPr>
          <w:lang w:val="en-AU"/>
        </w:rPr>
        <w:t xml:space="preserve">: </w:t>
      </w:r>
    </w:p>
    <w:p w14:paraId="6BDD6E73" w14:textId="54F2828D" w:rsidR="00B02302" w:rsidRPr="00B02302" w:rsidRDefault="00B02302" w:rsidP="007C5B2F">
      <w:pPr>
        <w:pStyle w:val="ListParagraph"/>
        <w:numPr>
          <w:ilvl w:val="0"/>
          <w:numId w:val="9"/>
        </w:numPr>
        <w:spacing w:before="60" w:after="60"/>
        <w:contextualSpacing w:val="0"/>
        <w:rPr>
          <w:lang w:val="en-AU"/>
        </w:rPr>
      </w:pPr>
      <w:r>
        <w:rPr>
          <w:lang w:val="en-AU"/>
        </w:rPr>
        <w:t>Comply with any COVID</w:t>
      </w:r>
      <w:r>
        <w:rPr>
          <w:lang w:val="en-AU"/>
        </w:rPr>
        <w:noBreakHyphen/>
        <w:t>19, influenza or other infectious disease protocols or instructions required or recommended by the Federal or State Governments,</w:t>
      </w:r>
      <w:r w:rsidR="00F833B0">
        <w:rPr>
          <w:lang w:val="en-AU"/>
        </w:rPr>
        <w:t xml:space="preserve"> or their Agencies, as relevant</w:t>
      </w:r>
      <w:r>
        <w:rPr>
          <w:lang w:val="en-AU"/>
        </w:rPr>
        <w:t xml:space="preserve">. This includes physical distancing, practise of any hygiene measures and use of personal protective equipment (PPE), if recommended or required, and following instructions and protocols as required by any </w:t>
      </w:r>
      <w:proofErr w:type="gramStart"/>
      <w:r>
        <w:rPr>
          <w:lang w:val="en-AU"/>
        </w:rPr>
        <w:t>particular delivery</w:t>
      </w:r>
      <w:proofErr w:type="gramEnd"/>
      <w:r>
        <w:rPr>
          <w:lang w:val="en-AU"/>
        </w:rPr>
        <w:t xml:space="preserve"> setting (for example, State</w:t>
      </w:r>
      <w:r>
        <w:rPr>
          <w:lang w:val="en-AU"/>
        </w:rPr>
        <w:noBreakHyphen/>
        <w:t xml:space="preserve">run quarantine), and compliance with </w:t>
      </w:r>
      <w:r w:rsidR="00A541E4">
        <w:rPr>
          <w:lang w:val="en-AU"/>
        </w:rPr>
        <w:t xml:space="preserve">infectious disease </w:t>
      </w:r>
      <w:r>
        <w:rPr>
          <w:lang w:val="en-AU"/>
        </w:rPr>
        <w:t>plans</w:t>
      </w:r>
      <w:r w:rsidR="00A541E4">
        <w:rPr>
          <w:lang w:val="en-AU"/>
        </w:rPr>
        <w:t xml:space="preserve"> (for example, COVID</w:t>
      </w:r>
      <w:r w:rsidR="00A541E4">
        <w:rPr>
          <w:lang w:val="en-AU"/>
        </w:rPr>
        <w:noBreakHyphen/>
        <w:t>safe workplace plans)</w:t>
      </w:r>
      <w:r>
        <w:rPr>
          <w:lang w:val="en-AU"/>
        </w:rPr>
        <w:t>.</w:t>
      </w:r>
    </w:p>
    <w:p w14:paraId="13138FDC" w14:textId="77777777" w:rsidR="00481149" w:rsidRDefault="00481149" w:rsidP="007C5B2F">
      <w:pPr>
        <w:spacing w:before="60" w:after="60"/>
        <w:rPr>
          <w:lang w:val="en-AU"/>
        </w:rPr>
      </w:pPr>
    </w:p>
    <w:p w14:paraId="3B0B6C55" w14:textId="3536D198" w:rsidR="00216820" w:rsidRDefault="00216820" w:rsidP="007C5B2F">
      <w:pPr>
        <w:spacing w:before="60" w:after="60"/>
        <w:rPr>
          <w:lang w:val="en-AU"/>
        </w:rPr>
      </w:pPr>
      <w:r>
        <w:rPr>
          <w:lang w:val="en-AU"/>
        </w:rPr>
        <w:t>The prescriber will</w:t>
      </w:r>
      <w:r w:rsidR="00243232">
        <w:rPr>
          <w:lang w:val="en-AU"/>
        </w:rPr>
        <w:t>:</w:t>
      </w:r>
    </w:p>
    <w:p w14:paraId="4047C6CE" w14:textId="2FD73CF0" w:rsidR="00216820" w:rsidRDefault="00216820" w:rsidP="007C5B2F">
      <w:pPr>
        <w:pStyle w:val="ListParagraph"/>
        <w:numPr>
          <w:ilvl w:val="0"/>
          <w:numId w:val="8"/>
        </w:numPr>
        <w:spacing w:before="60" w:after="60"/>
        <w:contextualSpacing w:val="0"/>
        <w:rPr>
          <w:lang w:val="en-AU"/>
        </w:rPr>
      </w:pPr>
      <w:r>
        <w:rPr>
          <w:lang w:val="en-AU"/>
        </w:rPr>
        <w:t xml:space="preserve">ensure compliance with relevant legislation, regulations and policy, including the </w:t>
      </w:r>
      <w:hyperlink r:id="rId18" w:history="1">
        <w:r w:rsidRPr="00A47809">
          <w:rPr>
            <w:rStyle w:val="Hyperlink"/>
            <w:i/>
            <w:iCs/>
            <w:lang w:val="en-AU"/>
          </w:rPr>
          <w:t>Poisons Act 1971</w:t>
        </w:r>
      </w:hyperlink>
      <w:r>
        <w:rPr>
          <w:lang w:val="en-AU"/>
        </w:rPr>
        <w:t xml:space="preserve">, </w:t>
      </w:r>
      <w:hyperlink r:id="rId19" w:history="1">
        <w:r w:rsidRPr="005E0732">
          <w:rPr>
            <w:rStyle w:val="Hyperlink"/>
            <w:lang w:val="en-AU"/>
          </w:rPr>
          <w:t>Poisons Regulations 2018</w:t>
        </w:r>
      </w:hyperlink>
      <w:r>
        <w:rPr>
          <w:lang w:val="en-AU"/>
        </w:rPr>
        <w:t xml:space="preserve">, </w:t>
      </w:r>
      <w:hyperlink r:id="rId20" w:history="1">
        <w:r w:rsidRPr="00244E02">
          <w:rPr>
            <w:rStyle w:val="Hyperlink"/>
            <w:lang w:val="en-AU"/>
          </w:rPr>
          <w:t>The Poisons Standard</w:t>
        </w:r>
      </w:hyperlink>
      <w:r>
        <w:rPr>
          <w:lang w:val="en-AU"/>
        </w:rPr>
        <w:t xml:space="preserve">, the </w:t>
      </w:r>
      <w:hyperlink r:id="rId21" w:history="1">
        <w:r w:rsidRPr="006049D0">
          <w:rPr>
            <w:rStyle w:val="Hyperlink"/>
            <w:lang w:val="en-AU"/>
          </w:rPr>
          <w:t>T</w:t>
        </w:r>
        <w:r w:rsidR="005557A3">
          <w:rPr>
            <w:rStyle w:val="Hyperlink"/>
            <w:lang w:val="en-AU"/>
          </w:rPr>
          <w:t>OPP</w:t>
        </w:r>
        <w:r w:rsidRPr="006049D0">
          <w:rPr>
            <w:rStyle w:val="Hyperlink"/>
            <w:lang w:val="en-AU"/>
          </w:rPr>
          <w:t xml:space="preserve"> Policy and Clinical </w:t>
        </w:r>
        <w:r w:rsidR="005F37D9">
          <w:rPr>
            <w:rStyle w:val="Hyperlink"/>
            <w:lang w:val="en-AU"/>
          </w:rPr>
          <w:t xml:space="preserve">Practice </w:t>
        </w:r>
        <w:r>
          <w:rPr>
            <w:rStyle w:val="Hyperlink"/>
            <w:lang w:val="en-AU"/>
          </w:rPr>
          <w:t>Standards</w:t>
        </w:r>
      </w:hyperlink>
      <w:r>
        <w:rPr>
          <w:lang w:val="en-AU"/>
        </w:rPr>
        <w:t>, and this document</w:t>
      </w:r>
    </w:p>
    <w:p w14:paraId="61D27C6E" w14:textId="216F0398" w:rsidR="00547015" w:rsidRDefault="00547015" w:rsidP="007C5B2F">
      <w:pPr>
        <w:pStyle w:val="ListParagraph"/>
        <w:numPr>
          <w:ilvl w:val="0"/>
          <w:numId w:val="8"/>
        </w:numPr>
        <w:spacing w:before="60" w:after="60"/>
        <w:contextualSpacing w:val="0"/>
        <w:rPr>
          <w:lang w:val="en-AU"/>
        </w:rPr>
      </w:pPr>
      <w:r>
        <w:rPr>
          <w:lang w:val="en-AU"/>
        </w:rPr>
        <w:t xml:space="preserve">liaise with the </w:t>
      </w:r>
      <w:r w:rsidR="00DA652F">
        <w:rPr>
          <w:lang w:val="en-AU"/>
        </w:rPr>
        <w:t xml:space="preserve">patient </w:t>
      </w:r>
      <w:r w:rsidR="00054DB9">
        <w:rPr>
          <w:lang w:val="en-AU"/>
        </w:rPr>
        <w:t xml:space="preserve">receiving ORT, the </w:t>
      </w:r>
      <w:r w:rsidR="00552659">
        <w:rPr>
          <w:lang w:val="en-AU"/>
        </w:rPr>
        <w:t>ADS</w:t>
      </w:r>
      <w:r w:rsidR="00D40CDB">
        <w:rPr>
          <w:lang w:val="en-AU"/>
        </w:rPr>
        <w:t xml:space="preserve"> (</w:t>
      </w:r>
      <w:r w:rsidR="00F62EFC">
        <w:rPr>
          <w:lang w:val="en-AU"/>
        </w:rPr>
        <w:t>on an as needs basis</w:t>
      </w:r>
      <w:r w:rsidR="00D40CDB">
        <w:rPr>
          <w:lang w:val="en-AU"/>
        </w:rPr>
        <w:t>)</w:t>
      </w:r>
      <w:r w:rsidR="00552659">
        <w:rPr>
          <w:lang w:val="en-AU"/>
        </w:rPr>
        <w:t xml:space="preserve">, </w:t>
      </w:r>
      <w:r w:rsidR="00054DB9">
        <w:rPr>
          <w:lang w:val="en-AU"/>
        </w:rPr>
        <w:t xml:space="preserve">and the </w:t>
      </w:r>
      <w:r w:rsidR="00B30BAE">
        <w:rPr>
          <w:lang w:val="en-AU"/>
        </w:rPr>
        <w:t>dispenser and</w:t>
      </w:r>
      <w:r w:rsidR="00054DB9">
        <w:rPr>
          <w:lang w:val="en-AU"/>
        </w:rPr>
        <w:t>/or</w:t>
      </w:r>
      <w:r w:rsidR="00B30BAE">
        <w:rPr>
          <w:lang w:val="en-AU"/>
        </w:rPr>
        <w:t xml:space="preserve"> </w:t>
      </w:r>
      <w:r>
        <w:rPr>
          <w:lang w:val="en-AU"/>
        </w:rPr>
        <w:t>delivery agent</w:t>
      </w:r>
      <w:r w:rsidR="00054DB9">
        <w:rPr>
          <w:lang w:val="en-AU"/>
        </w:rPr>
        <w:t>(s)</w:t>
      </w:r>
      <w:r>
        <w:rPr>
          <w:lang w:val="en-AU"/>
        </w:rPr>
        <w:t xml:space="preserve"> as required by the TOPP Policy and Clinical </w:t>
      </w:r>
      <w:r w:rsidR="007C380E">
        <w:rPr>
          <w:lang w:val="en-AU"/>
        </w:rPr>
        <w:t xml:space="preserve">Practice </w:t>
      </w:r>
      <w:r>
        <w:rPr>
          <w:lang w:val="en-AU"/>
        </w:rPr>
        <w:t>Standards, and this document</w:t>
      </w:r>
    </w:p>
    <w:p w14:paraId="20B01B3A" w14:textId="3ABCA074" w:rsidR="00661BC1" w:rsidRDefault="004C784A" w:rsidP="007C5B2F">
      <w:pPr>
        <w:pStyle w:val="ListParagraph"/>
        <w:numPr>
          <w:ilvl w:val="0"/>
          <w:numId w:val="8"/>
        </w:numPr>
        <w:spacing w:before="60" w:after="60"/>
        <w:contextualSpacing w:val="0"/>
        <w:rPr>
          <w:lang w:val="en-AU"/>
        </w:rPr>
      </w:pPr>
      <w:r>
        <w:rPr>
          <w:lang w:val="en-AU"/>
        </w:rPr>
        <w:t>review delivery of ORT as relevant to delivery context</w:t>
      </w:r>
    </w:p>
    <w:p w14:paraId="716451F0" w14:textId="5D76E4DD" w:rsidR="00B1539E" w:rsidRDefault="00481149" w:rsidP="007C5B2F">
      <w:pPr>
        <w:pStyle w:val="ListParagraph"/>
        <w:numPr>
          <w:ilvl w:val="0"/>
          <w:numId w:val="8"/>
        </w:numPr>
        <w:spacing w:before="60" w:after="60"/>
        <w:contextualSpacing w:val="0"/>
        <w:rPr>
          <w:lang w:val="en-AU"/>
        </w:rPr>
      </w:pPr>
      <w:r>
        <w:rPr>
          <w:lang w:val="en-AU"/>
        </w:rPr>
        <w:t xml:space="preserve">as soon as practical, </w:t>
      </w:r>
      <w:r w:rsidR="00B1539E">
        <w:rPr>
          <w:lang w:val="en-AU"/>
        </w:rPr>
        <w:t xml:space="preserve">notify the </w:t>
      </w:r>
      <w:r w:rsidR="00950286">
        <w:rPr>
          <w:lang w:val="en-AU"/>
        </w:rPr>
        <w:t>Clinical Director ADS</w:t>
      </w:r>
      <w:r w:rsidR="00B1539E">
        <w:rPr>
          <w:lang w:val="en-AU"/>
        </w:rPr>
        <w:t xml:space="preserve"> of any determinations of </w:t>
      </w:r>
      <w:r w:rsidR="00455EFC">
        <w:rPr>
          <w:lang w:val="en-AU"/>
        </w:rPr>
        <w:t xml:space="preserve">eligibility for delivery of ORT to private residence or </w:t>
      </w:r>
      <w:r w:rsidR="00EC69E0">
        <w:rPr>
          <w:lang w:val="en-AU"/>
        </w:rPr>
        <w:t>State</w:t>
      </w:r>
      <w:r w:rsidR="00EC69E0">
        <w:rPr>
          <w:lang w:val="en-AU"/>
        </w:rPr>
        <w:noBreakHyphen/>
        <w:t xml:space="preserve">run quarantine, and communicate the </w:t>
      </w:r>
      <w:r w:rsidR="00A150E4">
        <w:rPr>
          <w:lang w:val="en-AU"/>
        </w:rPr>
        <w:t>details of the dispensing agent</w:t>
      </w:r>
    </w:p>
    <w:p w14:paraId="5EDB1707" w14:textId="77777777" w:rsidR="00481149" w:rsidRDefault="00481149" w:rsidP="007C5B2F">
      <w:pPr>
        <w:spacing w:before="60" w:after="60"/>
        <w:rPr>
          <w:lang w:val="en-AU"/>
        </w:rPr>
      </w:pPr>
    </w:p>
    <w:p w14:paraId="6B32D7FE" w14:textId="7082A404" w:rsidR="00547015" w:rsidRDefault="00547015" w:rsidP="007C5B2F">
      <w:pPr>
        <w:spacing w:before="60" w:after="60"/>
        <w:rPr>
          <w:lang w:val="en-AU"/>
        </w:rPr>
      </w:pPr>
      <w:r>
        <w:rPr>
          <w:lang w:val="en-AU"/>
        </w:rPr>
        <w:t xml:space="preserve">The </w:t>
      </w:r>
      <w:r w:rsidR="00B30BAE">
        <w:rPr>
          <w:lang w:val="en-AU"/>
        </w:rPr>
        <w:t xml:space="preserve">dispenser and </w:t>
      </w:r>
      <w:r>
        <w:rPr>
          <w:lang w:val="en-AU"/>
        </w:rPr>
        <w:t>delivery agent</w:t>
      </w:r>
      <w:r w:rsidR="00B30BAE">
        <w:rPr>
          <w:lang w:val="en-AU"/>
        </w:rPr>
        <w:t>(s)</w:t>
      </w:r>
      <w:r>
        <w:rPr>
          <w:lang w:val="en-AU"/>
        </w:rPr>
        <w:t xml:space="preserve"> will</w:t>
      </w:r>
      <w:r w:rsidR="00243232">
        <w:rPr>
          <w:lang w:val="en-AU"/>
        </w:rPr>
        <w:t>:</w:t>
      </w:r>
    </w:p>
    <w:p w14:paraId="71DD55F7" w14:textId="764AE7E8" w:rsidR="00547015" w:rsidRDefault="00547015" w:rsidP="007C5B2F">
      <w:pPr>
        <w:pStyle w:val="ListParagraph"/>
        <w:numPr>
          <w:ilvl w:val="0"/>
          <w:numId w:val="8"/>
        </w:numPr>
        <w:spacing w:before="60" w:after="60"/>
        <w:contextualSpacing w:val="0"/>
        <w:rPr>
          <w:lang w:val="en-AU"/>
        </w:rPr>
      </w:pPr>
      <w:r>
        <w:rPr>
          <w:lang w:val="en-AU"/>
        </w:rPr>
        <w:t xml:space="preserve">ensure compliance with relevant legislation, regulations and policy, including the </w:t>
      </w:r>
      <w:hyperlink r:id="rId22" w:history="1">
        <w:r w:rsidRPr="00A47809">
          <w:rPr>
            <w:rStyle w:val="Hyperlink"/>
            <w:i/>
            <w:iCs/>
            <w:lang w:val="en-AU"/>
          </w:rPr>
          <w:t>Poisons Act 1971</w:t>
        </w:r>
      </w:hyperlink>
      <w:r>
        <w:rPr>
          <w:lang w:val="en-AU"/>
        </w:rPr>
        <w:t xml:space="preserve">, </w:t>
      </w:r>
      <w:hyperlink r:id="rId23" w:history="1">
        <w:r w:rsidRPr="005E0732">
          <w:rPr>
            <w:rStyle w:val="Hyperlink"/>
            <w:lang w:val="en-AU"/>
          </w:rPr>
          <w:t>Poisons Regulations 2018</w:t>
        </w:r>
      </w:hyperlink>
      <w:r>
        <w:rPr>
          <w:lang w:val="en-AU"/>
        </w:rPr>
        <w:t xml:space="preserve">, </w:t>
      </w:r>
      <w:hyperlink r:id="rId24" w:history="1">
        <w:r w:rsidRPr="00244E02">
          <w:rPr>
            <w:rStyle w:val="Hyperlink"/>
            <w:lang w:val="en-AU"/>
          </w:rPr>
          <w:t>The Poisons Standard</w:t>
        </w:r>
      </w:hyperlink>
      <w:r>
        <w:rPr>
          <w:lang w:val="en-AU"/>
        </w:rPr>
        <w:t xml:space="preserve">, the </w:t>
      </w:r>
      <w:hyperlink r:id="rId25" w:history="1">
        <w:r w:rsidRPr="006049D0">
          <w:rPr>
            <w:rStyle w:val="Hyperlink"/>
            <w:lang w:val="en-AU"/>
          </w:rPr>
          <w:t>T</w:t>
        </w:r>
        <w:r w:rsidR="005557A3">
          <w:rPr>
            <w:rStyle w:val="Hyperlink"/>
            <w:lang w:val="en-AU"/>
          </w:rPr>
          <w:t>OPP</w:t>
        </w:r>
        <w:r w:rsidRPr="006049D0">
          <w:rPr>
            <w:rStyle w:val="Hyperlink"/>
            <w:lang w:val="en-AU"/>
          </w:rPr>
          <w:t xml:space="preserve"> Policy and Clinical </w:t>
        </w:r>
        <w:r w:rsidR="00BC48B4">
          <w:rPr>
            <w:rStyle w:val="Hyperlink"/>
            <w:lang w:val="en-AU"/>
          </w:rPr>
          <w:t xml:space="preserve">Practice </w:t>
        </w:r>
        <w:r>
          <w:rPr>
            <w:rStyle w:val="Hyperlink"/>
            <w:lang w:val="en-AU"/>
          </w:rPr>
          <w:t>Standards</w:t>
        </w:r>
      </w:hyperlink>
      <w:r>
        <w:rPr>
          <w:lang w:val="en-AU"/>
        </w:rPr>
        <w:t>, and this document</w:t>
      </w:r>
    </w:p>
    <w:p w14:paraId="4B1149D3" w14:textId="4A65B5A9" w:rsidR="00950286" w:rsidRPr="00950286" w:rsidRDefault="00547015" w:rsidP="00950286">
      <w:pPr>
        <w:pStyle w:val="ListParagraph"/>
        <w:numPr>
          <w:ilvl w:val="0"/>
          <w:numId w:val="8"/>
        </w:numPr>
        <w:spacing w:before="60" w:after="60"/>
        <w:contextualSpacing w:val="0"/>
        <w:rPr>
          <w:lang w:val="en-AU"/>
        </w:rPr>
      </w:pPr>
      <w:r>
        <w:rPr>
          <w:lang w:val="en-AU"/>
        </w:rPr>
        <w:t xml:space="preserve">liaise with the </w:t>
      </w:r>
      <w:r w:rsidR="00054DB9">
        <w:rPr>
          <w:lang w:val="en-AU"/>
        </w:rPr>
        <w:t>person receiving ORT, the ADS</w:t>
      </w:r>
      <w:r w:rsidR="00D40CDB">
        <w:rPr>
          <w:lang w:val="en-AU"/>
        </w:rPr>
        <w:t xml:space="preserve"> (</w:t>
      </w:r>
      <w:r w:rsidR="00F62EFC">
        <w:rPr>
          <w:lang w:val="en-AU"/>
        </w:rPr>
        <w:t>on an as needs basis</w:t>
      </w:r>
      <w:r w:rsidR="00D40CDB">
        <w:rPr>
          <w:lang w:val="en-AU"/>
        </w:rPr>
        <w:t>)</w:t>
      </w:r>
      <w:r w:rsidR="00054DB9">
        <w:rPr>
          <w:lang w:val="en-AU"/>
        </w:rPr>
        <w:t xml:space="preserve">, and </w:t>
      </w:r>
      <w:r w:rsidR="00AA5397">
        <w:rPr>
          <w:lang w:val="en-AU"/>
        </w:rPr>
        <w:t xml:space="preserve">the </w:t>
      </w:r>
      <w:r w:rsidR="00B30BAE">
        <w:rPr>
          <w:lang w:val="en-AU"/>
        </w:rPr>
        <w:t>prescrib</w:t>
      </w:r>
      <w:r w:rsidR="005557A3">
        <w:rPr>
          <w:lang w:val="en-AU"/>
        </w:rPr>
        <w:t>ing</w:t>
      </w:r>
      <w:r w:rsidR="00AA5397">
        <w:rPr>
          <w:lang w:val="en-AU"/>
        </w:rPr>
        <w:t xml:space="preserve">, </w:t>
      </w:r>
      <w:r w:rsidR="00B30BAE">
        <w:rPr>
          <w:lang w:val="en-AU"/>
        </w:rPr>
        <w:t>dispens</w:t>
      </w:r>
      <w:r w:rsidR="005557A3">
        <w:rPr>
          <w:lang w:val="en-AU"/>
        </w:rPr>
        <w:t xml:space="preserve">ing </w:t>
      </w:r>
      <w:r w:rsidR="00B5790C">
        <w:rPr>
          <w:lang w:val="en-AU"/>
        </w:rPr>
        <w:t>and/</w:t>
      </w:r>
      <w:r w:rsidR="00AA5397">
        <w:rPr>
          <w:lang w:val="en-AU"/>
        </w:rPr>
        <w:t xml:space="preserve">or delivery </w:t>
      </w:r>
      <w:r w:rsidR="005557A3">
        <w:rPr>
          <w:lang w:val="en-AU"/>
        </w:rPr>
        <w:t>agent</w:t>
      </w:r>
      <w:r w:rsidR="00AA5397">
        <w:rPr>
          <w:lang w:val="en-AU"/>
        </w:rPr>
        <w:t>(s) as relevant</w:t>
      </w:r>
      <w:r w:rsidR="00BC3DC3">
        <w:rPr>
          <w:lang w:val="en-AU"/>
        </w:rPr>
        <w:t xml:space="preserve">, </w:t>
      </w:r>
      <w:r>
        <w:rPr>
          <w:lang w:val="en-AU"/>
        </w:rPr>
        <w:t xml:space="preserve">as required by the TOPP Policy and Clinical </w:t>
      </w:r>
      <w:r w:rsidR="00EC6955">
        <w:rPr>
          <w:lang w:val="en-AU"/>
        </w:rPr>
        <w:t xml:space="preserve">Practice </w:t>
      </w:r>
      <w:r>
        <w:rPr>
          <w:lang w:val="en-AU"/>
        </w:rPr>
        <w:t>Standards</w:t>
      </w:r>
      <w:r w:rsidR="00B5790C">
        <w:rPr>
          <w:lang w:val="en-AU"/>
        </w:rPr>
        <w:t>,</w:t>
      </w:r>
      <w:r>
        <w:rPr>
          <w:lang w:val="en-AU"/>
        </w:rPr>
        <w:t xml:space="preserve"> and this document</w:t>
      </w:r>
    </w:p>
    <w:p w14:paraId="1FBB9494" w14:textId="6F1A8E6E" w:rsidR="00547015" w:rsidRDefault="00547015" w:rsidP="007C5B2F">
      <w:pPr>
        <w:pStyle w:val="ListParagraph"/>
        <w:numPr>
          <w:ilvl w:val="0"/>
          <w:numId w:val="8"/>
        </w:numPr>
        <w:spacing w:before="60" w:after="60"/>
        <w:contextualSpacing w:val="0"/>
        <w:rPr>
          <w:lang w:val="en-AU"/>
        </w:rPr>
      </w:pPr>
      <w:r>
        <w:rPr>
          <w:lang w:val="en-AU"/>
        </w:rPr>
        <w:t>communicate anything required to the</w:t>
      </w:r>
      <w:r w:rsidR="00D05645">
        <w:rPr>
          <w:lang w:val="en-AU"/>
        </w:rPr>
        <w:t xml:space="preserve"> </w:t>
      </w:r>
      <w:r w:rsidR="002C38AF">
        <w:rPr>
          <w:lang w:val="en-AU"/>
        </w:rPr>
        <w:t xml:space="preserve">prescriber, </w:t>
      </w:r>
      <w:r w:rsidR="00D05645">
        <w:rPr>
          <w:lang w:val="en-AU"/>
        </w:rPr>
        <w:t>ADS,</w:t>
      </w:r>
      <w:r>
        <w:rPr>
          <w:lang w:val="en-AU"/>
        </w:rPr>
        <w:t xml:space="preserve"> D</w:t>
      </w:r>
      <w:r w:rsidR="00B27150">
        <w:rPr>
          <w:lang w:val="en-AU"/>
        </w:rPr>
        <w:t>epartment of Health Mental Health, Alcohol and Drug</w:t>
      </w:r>
      <w:r>
        <w:rPr>
          <w:lang w:val="en-AU"/>
        </w:rPr>
        <w:t xml:space="preserve"> Directorate</w:t>
      </w:r>
      <w:r w:rsidR="00D40CDB">
        <w:rPr>
          <w:lang w:val="en-AU"/>
        </w:rPr>
        <w:t xml:space="preserve"> and/or </w:t>
      </w:r>
      <w:r w:rsidR="0012141E">
        <w:rPr>
          <w:lang w:val="en-AU"/>
        </w:rPr>
        <w:t>relevant authorities</w:t>
      </w:r>
      <w:r w:rsidR="00E05006">
        <w:rPr>
          <w:lang w:val="en-AU"/>
        </w:rPr>
        <w:t>, as appropriate</w:t>
      </w:r>
      <w:r w:rsidR="00B27150">
        <w:rPr>
          <w:lang w:val="en-AU"/>
        </w:rPr>
        <w:t>.</w:t>
      </w:r>
      <w:r w:rsidR="002C38AF">
        <w:rPr>
          <w:lang w:val="en-AU"/>
        </w:rPr>
        <w:t xml:space="preserve"> This may </w:t>
      </w:r>
      <w:r w:rsidR="002C38AF">
        <w:rPr>
          <w:lang w:val="en-AU"/>
        </w:rPr>
        <w:lastRenderedPageBreak/>
        <w:t>include communicating missed dosages</w:t>
      </w:r>
      <w:r w:rsidR="00E05006">
        <w:rPr>
          <w:lang w:val="en-AU"/>
        </w:rPr>
        <w:t xml:space="preserve"> to the prescriber, or breaches of quarantine to the Public Health Hotline. </w:t>
      </w:r>
    </w:p>
    <w:p w14:paraId="18079FC8" w14:textId="2F5BA75B" w:rsidR="00547015" w:rsidRDefault="00547015" w:rsidP="007C5B2F">
      <w:pPr>
        <w:pStyle w:val="ListParagraph"/>
        <w:numPr>
          <w:ilvl w:val="0"/>
          <w:numId w:val="8"/>
        </w:numPr>
        <w:spacing w:before="60" w:after="60"/>
        <w:contextualSpacing w:val="0"/>
        <w:rPr>
          <w:lang w:val="en-AU"/>
        </w:rPr>
      </w:pPr>
      <w:r>
        <w:rPr>
          <w:lang w:val="en-AU"/>
        </w:rPr>
        <w:t xml:space="preserve">review delivery of ORT as relevant to delivery context </w:t>
      </w:r>
    </w:p>
    <w:p w14:paraId="6A301158" w14:textId="5232BAEF" w:rsidR="0051136B" w:rsidRPr="00547015" w:rsidRDefault="0051136B" w:rsidP="007C5B2F">
      <w:pPr>
        <w:pStyle w:val="ListParagraph"/>
        <w:numPr>
          <w:ilvl w:val="0"/>
          <w:numId w:val="8"/>
        </w:numPr>
        <w:spacing w:before="60" w:after="60"/>
        <w:contextualSpacing w:val="0"/>
        <w:rPr>
          <w:lang w:val="en-AU"/>
        </w:rPr>
      </w:pPr>
      <w:r>
        <w:rPr>
          <w:lang w:val="en-AU"/>
        </w:rPr>
        <w:t>ensure that any</w:t>
      </w:r>
      <w:r w:rsidR="00D40CDB">
        <w:rPr>
          <w:lang w:val="en-AU"/>
        </w:rPr>
        <w:t xml:space="preserve"> relevant registrations,</w:t>
      </w:r>
      <w:r>
        <w:rPr>
          <w:lang w:val="en-AU"/>
        </w:rPr>
        <w:t xml:space="preserve"> licenses</w:t>
      </w:r>
      <w:r w:rsidR="00EE56BC">
        <w:rPr>
          <w:lang w:val="en-AU"/>
        </w:rPr>
        <w:t xml:space="preserve"> and/or insurances </w:t>
      </w:r>
      <w:r w:rsidR="00E922BE">
        <w:rPr>
          <w:lang w:val="en-AU"/>
        </w:rPr>
        <w:t xml:space="preserve">relevant to the delivery of ORT </w:t>
      </w:r>
      <w:r w:rsidR="00EE56BC">
        <w:rPr>
          <w:lang w:val="en-AU"/>
        </w:rPr>
        <w:t xml:space="preserve">are </w:t>
      </w:r>
      <w:r w:rsidR="00E922BE">
        <w:rPr>
          <w:lang w:val="en-AU"/>
        </w:rPr>
        <w:t xml:space="preserve">valid </w:t>
      </w:r>
      <w:r w:rsidR="00EE56BC">
        <w:rPr>
          <w:lang w:val="en-AU"/>
        </w:rPr>
        <w:t xml:space="preserve">and </w:t>
      </w:r>
      <w:r w:rsidR="004F5EBB">
        <w:rPr>
          <w:lang w:val="en-AU"/>
        </w:rPr>
        <w:t xml:space="preserve">current (including, but not limited to, </w:t>
      </w:r>
      <w:r w:rsidR="00D40CDB">
        <w:rPr>
          <w:lang w:val="en-AU"/>
        </w:rPr>
        <w:t xml:space="preserve">professional registration, vehicle registration, </w:t>
      </w:r>
      <w:r w:rsidR="004F5EBB">
        <w:rPr>
          <w:lang w:val="en-AU"/>
        </w:rPr>
        <w:t>driver</w:t>
      </w:r>
      <w:r w:rsidR="00A03CD3">
        <w:rPr>
          <w:lang w:val="en-AU"/>
        </w:rPr>
        <w:t>’</w:t>
      </w:r>
      <w:r w:rsidR="004F5EBB">
        <w:rPr>
          <w:lang w:val="en-AU"/>
        </w:rPr>
        <w:t xml:space="preserve">s </w:t>
      </w:r>
      <w:proofErr w:type="gramStart"/>
      <w:r w:rsidR="004F5EBB">
        <w:rPr>
          <w:lang w:val="en-AU"/>
        </w:rPr>
        <w:t>license</w:t>
      </w:r>
      <w:proofErr w:type="gramEnd"/>
      <w:r w:rsidR="004F5EBB">
        <w:rPr>
          <w:lang w:val="en-AU"/>
        </w:rPr>
        <w:t xml:space="preserve"> and vehicle insurance).</w:t>
      </w:r>
    </w:p>
    <w:p w14:paraId="61EA62AB" w14:textId="77777777" w:rsidR="00481149" w:rsidRDefault="00481149" w:rsidP="007C5B2F">
      <w:pPr>
        <w:spacing w:before="60" w:after="60"/>
        <w:rPr>
          <w:lang w:val="en-AU"/>
        </w:rPr>
      </w:pPr>
    </w:p>
    <w:p w14:paraId="1FA5E9EA" w14:textId="160F3ED6" w:rsidR="00216820" w:rsidRDefault="00216820" w:rsidP="007C5B2F">
      <w:pPr>
        <w:spacing w:before="60" w:after="60"/>
        <w:rPr>
          <w:lang w:val="en-AU"/>
        </w:rPr>
      </w:pPr>
      <w:r>
        <w:rPr>
          <w:lang w:val="en-AU"/>
        </w:rPr>
        <w:t xml:space="preserve">The </w:t>
      </w:r>
      <w:r w:rsidR="00D05645">
        <w:rPr>
          <w:lang w:val="en-AU"/>
        </w:rPr>
        <w:t>ADS</w:t>
      </w:r>
      <w:r>
        <w:rPr>
          <w:lang w:val="en-AU"/>
        </w:rPr>
        <w:t xml:space="preserve"> will</w:t>
      </w:r>
      <w:r w:rsidR="00243232">
        <w:rPr>
          <w:lang w:val="en-AU"/>
        </w:rPr>
        <w:t>:</w:t>
      </w:r>
    </w:p>
    <w:p w14:paraId="67273E76" w14:textId="5513B411" w:rsidR="008A5612" w:rsidRPr="008A5612" w:rsidRDefault="00C616F4" w:rsidP="008A5612">
      <w:pPr>
        <w:pStyle w:val="ListParagraph"/>
        <w:numPr>
          <w:ilvl w:val="0"/>
          <w:numId w:val="8"/>
        </w:numPr>
        <w:spacing w:before="60" w:after="60"/>
        <w:contextualSpacing w:val="0"/>
        <w:rPr>
          <w:lang w:val="en-AU"/>
        </w:rPr>
      </w:pPr>
      <w:r>
        <w:rPr>
          <w:lang w:val="en-AU"/>
        </w:rPr>
        <w:t xml:space="preserve">liaise </w:t>
      </w:r>
      <w:r w:rsidR="008A5612">
        <w:rPr>
          <w:lang w:val="en-AU"/>
        </w:rPr>
        <w:t>with prescribing agents, dispensing agents and delivery agents as required to provide continuity of care for Tasmanians requiring the delivery of ORT to State</w:t>
      </w:r>
      <w:r w:rsidR="008A5612">
        <w:rPr>
          <w:lang w:val="en-AU"/>
        </w:rPr>
        <w:noBreakHyphen/>
        <w:t>run quarantine facilities or private residences</w:t>
      </w:r>
    </w:p>
    <w:p w14:paraId="4C6C4ECA" w14:textId="77777777" w:rsidR="00E53D35" w:rsidRDefault="00C616F4" w:rsidP="002102DD">
      <w:pPr>
        <w:pStyle w:val="ListParagraph"/>
        <w:numPr>
          <w:ilvl w:val="0"/>
          <w:numId w:val="8"/>
        </w:numPr>
        <w:spacing w:before="60" w:after="60"/>
        <w:contextualSpacing w:val="0"/>
        <w:rPr>
          <w:lang w:val="en-AU"/>
        </w:rPr>
      </w:pPr>
      <w:r>
        <w:rPr>
          <w:lang w:val="en-AU"/>
        </w:rPr>
        <w:t xml:space="preserve">liaise </w:t>
      </w:r>
      <w:r w:rsidR="006E5E28">
        <w:rPr>
          <w:lang w:val="en-AU"/>
        </w:rPr>
        <w:t>with</w:t>
      </w:r>
      <w:r w:rsidR="00D05645">
        <w:rPr>
          <w:lang w:val="en-AU"/>
        </w:rPr>
        <w:t xml:space="preserve"> prescribers,</w:t>
      </w:r>
      <w:r w:rsidR="006E5E28">
        <w:rPr>
          <w:lang w:val="en-AU"/>
        </w:rPr>
        <w:t xml:space="preserve"> State</w:t>
      </w:r>
      <w:r w:rsidR="006E5E28">
        <w:rPr>
          <w:lang w:val="en-AU"/>
        </w:rPr>
        <w:noBreakHyphen/>
        <w:t>run quarantine services,</w:t>
      </w:r>
      <w:r w:rsidR="007672F8">
        <w:rPr>
          <w:lang w:val="en-AU"/>
        </w:rPr>
        <w:t xml:space="preserve"> the Agencies </w:t>
      </w:r>
      <w:r w:rsidR="00337920">
        <w:rPr>
          <w:lang w:val="en-AU"/>
        </w:rPr>
        <w:t>responsible for these facilities,</w:t>
      </w:r>
      <w:r w:rsidR="006E5E28">
        <w:rPr>
          <w:lang w:val="en-AU"/>
        </w:rPr>
        <w:t xml:space="preserve"> or their agents</w:t>
      </w:r>
      <w:r w:rsidR="00337920">
        <w:rPr>
          <w:lang w:val="en-AU"/>
        </w:rPr>
        <w:t xml:space="preserve"> or delegates</w:t>
      </w:r>
      <w:r w:rsidR="006E5E28">
        <w:rPr>
          <w:lang w:val="en-AU"/>
        </w:rPr>
        <w:t>,</w:t>
      </w:r>
      <w:r w:rsidR="00EE7EB5">
        <w:rPr>
          <w:lang w:val="en-AU"/>
        </w:rPr>
        <w:t xml:space="preserve"> and</w:t>
      </w:r>
      <w:r w:rsidR="006E5E28">
        <w:rPr>
          <w:lang w:val="en-AU"/>
        </w:rPr>
        <w:t xml:space="preserve"> </w:t>
      </w:r>
      <w:r w:rsidR="00D05645">
        <w:rPr>
          <w:lang w:val="en-AU"/>
        </w:rPr>
        <w:t xml:space="preserve">dispensing and delivery agents, </w:t>
      </w:r>
      <w:r w:rsidR="006E5E28">
        <w:rPr>
          <w:lang w:val="en-AU"/>
        </w:rPr>
        <w:t xml:space="preserve">to provide continuity of care for </w:t>
      </w:r>
      <w:r w:rsidR="00EE7EB5">
        <w:rPr>
          <w:lang w:val="en-AU"/>
        </w:rPr>
        <w:t>persons</w:t>
      </w:r>
      <w:r w:rsidR="006E5E28">
        <w:rPr>
          <w:lang w:val="en-AU"/>
        </w:rPr>
        <w:t xml:space="preserve"> requiring ORT in State</w:t>
      </w:r>
      <w:r w:rsidR="006E5E28">
        <w:rPr>
          <w:lang w:val="en-AU"/>
        </w:rPr>
        <w:noBreakHyphen/>
        <w:t>run quarantine</w:t>
      </w:r>
      <w:r w:rsidR="009709FA">
        <w:rPr>
          <w:lang w:val="en-AU"/>
        </w:rPr>
        <w:t>.</w:t>
      </w:r>
    </w:p>
    <w:p w14:paraId="25D4CD0B" w14:textId="71B2DB49" w:rsidR="006E5E28" w:rsidRPr="00EA382C" w:rsidRDefault="0036666B" w:rsidP="002102DD">
      <w:pPr>
        <w:pStyle w:val="ListParagraph"/>
        <w:numPr>
          <w:ilvl w:val="0"/>
          <w:numId w:val="8"/>
        </w:numPr>
        <w:spacing w:before="60" w:after="60"/>
        <w:contextualSpacing w:val="0"/>
        <w:rPr>
          <w:lang w:val="en-AU"/>
        </w:rPr>
      </w:pPr>
      <w:r w:rsidRPr="00EA382C">
        <w:rPr>
          <w:lang w:val="en-AU"/>
        </w:rPr>
        <w:t>Provide</w:t>
      </w:r>
      <w:r w:rsidR="00EA382C">
        <w:rPr>
          <w:lang w:val="en-AU"/>
        </w:rPr>
        <w:t xml:space="preserve"> </w:t>
      </w:r>
      <w:r w:rsidRPr="00EA382C">
        <w:rPr>
          <w:lang w:val="en-AU"/>
        </w:rPr>
        <w:t xml:space="preserve">authorisation for </w:t>
      </w:r>
      <w:r w:rsidR="00EA382C">
        <w:rPr>
          <w:lang w:val="en-AU"/>
        </w:rPr>
        <w:t xml:space="preserve">clinically appropriate </w:t>
      </w:r>
      <w:r w:rsidRPr="00EA382C">
        <w:rPr>
          <w:lang w:val="en-AU"/>
        </w:rPr>
        <w:t>prescription variation as relevant</w:t>
      </w:r>
      <w:r w:rsidR="00EA382C">
        <w:rPr>
          <w:lang w:val="en-AU"/>
        </w:rPr>
        <w:t xml:space="preserve"> (for example, daily dosing)</w:t>
      </w:r>
      <w:r w:rsidRPr="00EA382C">
        <w:rPr>
          <w:lang w:val="en-AU"/>
        </w:rPr>
        <w:t>, i</w:t>
      </w:r>
      <w:r w:rsidR="00E53D35" w:rsidRPr="00EA382C">
        <w:rPr>
          <w:lang w:val="en-AU"/>
        </w:rPr>
        <w:t>n the instance of an unplanned interstate transfer where the patient’s care is transferred from another jurisdiction to the ADS, provided that the ADS has the capacity to provide service to the patient.</w:t>
      </w:r>
      <w:r w:rsidR="00D40CDB" w:rsidRPr="00EA382C">
        <w:rPr>
          <w:lang w:val="en-AU"/>
        </w:rPr>
        <w:t xml:space="preserve"> It is acknowledged that it is in the interests of </w:t>
      </w:r>
      <w:r w:rsidR="00D05645" w:rsidRPr="00EA382C">
        <w:rPr>
          <w:lang w:val="en-AU"/>
        </w:rPr>
        <w:t xml:space="preserve">the health of </w:t>
      </w:r>
      <w:r w:rsidR="00D40CDB" w:rsidRPr="00EA382C">
        <w:rPr>
          <w:lang w:val="en-AU"/>
        </w:rPr>
        <w:t>both the individual and the public</w:t>
      </w:r>
      <w:r w:rsidR="00D05645" w:rsidRPr="00EA382C">
        <w:rPr>
          <w:lang w:val="en-AU"/>
        </w:rPr>
        <w:t xml:space="preserve"> to </w:t>
      </w:r>
      <w:r w:rsidR="00D40CDB" w:rsidRPr="00EA382C">
        <w:rPr>
          <w:lang w:val="en-AU"/>
        </w:rPr>
        <w:t xml:space="preserve">continue care for interstate residents </w:t>
      </w:r>
      <w:r w:rsidR="0012141E" w:rsidRPr="00EA382C">
        <w:rPr>
          <w:lang w:val="en-AU"/>
        </w:rPr>
        <w:t xml:space="preserve">and / or returning Tasmanian residents </w:t>
      </w:r>
      <w:r w:rsidR="00D40CDB" w:rsidRPr="00EA382C">
        <w:rPr>
          <w:lang w:val="en-AU"/>
        </w:rPr>
        <w:t>whilst in state-run or private quarantine facilities, and the ADS’ ability to do so will be dependent on the service’s capacity as assessed at the time of request.</w:t>
      </w:r>
      <w:r w:rsidR="00E311FD">
        <w:rPr>
          <w:lang w:val="en-AU"/>
        </w:rPr>
        <w:t xml:space="preserve"> Care will be provided in line with the TOPP Policy and Clinical Practice Guidelines,</w:t>
      </w:r>
      <w:r w:rsidR="00D40CDB" w:rsidRPr="00EA382C">
        <w:rPr>
          <w:lang w:val="en-AU"/>
        </w:rPr>
        <w:t xml:space="preserve"> </w:t>
      </w:r>
      <w:r w:rsidR="00FA6070" w:rsidRPr="00EA382C">
        <w:rPr>
          <w:lang w:val="en-AU"/>
        </w:rPr>
        <w:t>including daily dosing</w:t>
      </w:r>
      <w:r w:rsidR="00E311FD">
        <w:rPr>
          <w:lang w:val="en-AU"/>
        </w:rPr>
        <w:t xml:space="preserve"> in the first instance.</w:t>
      </w:r>
    </w:p>
    <w:p w14:paraId="7865EFE3" w14:textId="77777777" w:rsidR="00832435" w:rsidRPr="00E311FD" w:rsidRDefault="00832435" w:rsidP="00E311FD">
      <w:pPr>
        <w:spacing w:before="60" w:after="60"/>
        <w:rPr>
          <w:lang w:val="en-AU"/>
        </w:rPr>
      </w:pPr>
    </w:p>
    <w:p w14:paraId="3256A1DE" w14:textId="5C4571C1" w:rsidR="008A5612" w:rsidRDefault="00216820" w:rsidP="008A5612">
      <w:pPr>
        <w:spacing w:before="60" w:after="60"/>
        <w:rPr>
          <w:lang w:val="en-AU"/>
        </w:rPr>
      </w:pPr>
      <w:r>
        <w:rPr>
          <w:lang w:val="en-AU"/>
        </w:rPr>
        <w:t xml:space="preserve">The </w:t>
      </w:r>
      <w:r w:rsidR="005B1119">
        <w:rPr>
          <w:lang w:val="en-AU"/>
        </w:rPr>
        <w:t xml:space="preserve">Mental Health, Alcohol and Drug Directorate </w:t>
      </w:r>
      <w:r w:rsidR="00576D41">
        <w:rPr>
          <w:lang w:val="en-AU"/>
        </w:rPr>
        <w:t>(</w:t>
      </w:r>
      <w:r w:rsidR="00E311FD">
        <w:rPr>
          <w:lang w:val="en-AU"/>
        </w:rPr>
        <w:t xml:space="preserve">the </w:t>
      </w:r>
      <w:r w:rsidR="00576D41">
        <w:rPr>
          <w:lang w:val="en-AU"/>
        </w:rPr>
        <w:t xml:space="preserve">Directorate) </w:t>
      </w:r>
      <w:r w:rsidR="005B1119">
        <w:rPr>
          <w:lang w:val="en-AU"/>
        </w:rPr>
        <w:t>will</w:t>
      </w:r>
      <w:r w:rsidR="009D4F57">
        <w:rPr>
          <w:lang w:val="en-AU"/>
        </w:rPr>
        <w:t>:</w:t>
      </w:r>
    </w:p>
    <w:p w14:paraId="3D4F28FF" w14:textId="52D7B33A" w:rsidR="009D4F57" w:rsidRPr="008A5612" w:rsidRDefault="00BA31CD" w:rsidP="008A5612">
      <w:pPr>
        <w:pStyle w:val="ListParagraph"/>
        <w:numPr>
          <w:ilvl w:val="0"/>
          <w:numId w:val="15"/>
        </w:numPr>
        <w:spacing w:before="60" w:after="60"/>
        <w:rPr>
          <w:i/>
          <w:iCs/>
          <w:lang w:val="en-AU"/>
        </w:rPr>
      </w:pPr>
      <w:r>
        <w:rPr>
          <w:lang w:val="en-AU"/>
        </w:rPr>
        <w:t>m</w:t>
      </w:r>
      <w:r w:rsidRPr="008A5612">
        <w:rPr>
          <w:lang w:val="en-AU"/>
        </w:rPr>
        <w:t xml:space="preserve">aintain </w:t>
      </w:r>
      <w:r w:rsidR="008A5612" w:rsidRPr="008A5612">
        <w:rPr>
          <w:lang w:val="en-AU"/>
        </w:rPr>
        <w:t xml:space="preserve">the </w:t>
      </w:r>
      <w:r w:rsidR="008A5612" w:rsidRPr="008A5612">
        <w:rPr>
          <w:i/>
          <w:iCs/>
          <w:lang w:val="en-AU"/>
        </w:rPr>
        <w:t>Procedure for Delivery of Opioid Replacement Therapy to State</w:t>
      </w:r>
      <w:r w:rsidR="008A5612" w:rsidRPr="008A5612">
        <w:rPr>
          <w:i/>
          <w:iCs/>
          <w:lang w:val="en-AU"/>
        </w:rPr>
        <w:noBreakHyphen/>
        <w:t xml:space="preserve">run </w:t>
      </w:r>
      <w:r>
        <w:rPr>
          <w:i/>
          <w:iCs/>
          <w:lang w:val="en-AU"/>
        </w:rPr>
        <w:t>Q</w:t>
      </w:r>
      <w:r w:rsidRPr="008A5612">
        <w:rPr>
          <w:i/>
          <w:iCs/>
          <w:lang w:val="en-AU"/>
        </w:rPr>
        <w:t xml:space="preserve">uarantine </w:t>
      </w:r>
      <w:r>
        <w:rPr>
          <w:i/>
          <w:iCs/>
          <w:lang w:val="en-AU"/>
        </w:rPr>
        <w:t>F</w:t>
      </w:r>
      <w:r w:rsidR="008A5612" w:rsidRPr="008A5612">
        <w:rPr>
          <w:i/>
          <w:iCs/>
          <w:lang w:val="en-AU"/>
        </w:rPr>
        <w:t xml:space="preserve">acility or </w:t>
      </w:r>
      <w:r>
        <w:rPr>
          <w:i/>
          <w:iCs/>
          <w:lang w:val="en-AU"/>
        </w:rPr>
        <w:t>P</w:t>
      </w:r>
      <w:r w:rsidR="008A5612" w:rsidRPr="008A5612">
        <w:rPr>
          <w:i/>
          <w:iCs/>
          <w:lang w:val="en-AU"/>
        </w:rPr>
        <w:t xml:space="preserve">rivate </w:t>
      </w:r>
      <w:r>
        <w:rPr>
          <w:i/>
          <w:iCs/>
          <w:lang w:val="en-AU"/>
        </w:rPr>
        <w:t>R</w:t>
      </w:r>
      <w:r w:rsidR="008A5612" w:rsidRPr="008A5612">
        <w:rPr>
          <w:i/>
          <w:iCs/>
          <w:lang w:val="en-AU"/>
        </w:rPr>
        <w:t>esidence</w:t>
      </w:r>
      <w:r w:rsidR="00E75229">
        <w:rPr>
          <w:lang w:val="en-AU"/>
        </w:rPr>
        <w:t xml:space="preserve"> (this document)</w:t>
      </w:r>
    </w:p>
    <w:p w14:paraId="4CD99712" w14:textId="519187CA" w:rsidR="009D4F57" w:rsidRDefault="00BA31CD" w:rsidP="007C5B2F">
      <w:pPr>
        <w:pStyle w:val="ListParagraph"/>
        <w:numPr>
          <w:ilvl w:val="0"/>
          <w:numId w:val="15"/>
        </w:numPr>
        <w:spacing w:before="60" w:after="60"/>
        <w:contextualSpacing w:val="0"/>
        <w:rPr>
          <w:lang w:val="en-AU"/>
        </w:rPr>
      </w:pPr>
      <w:r>
        <w:rPr>
          <w:lang w:val="en-AU"/>
        </w:rPr>
        <w:t xml:space="preserve">receive </w:t>
      </w:r>
      <w:r w:rsidR="009D4F57">
        <w:rPr>
          <w:lang w:val="en-AU"/>
        </w:rPr>
        <w:t>invoices relevant to the approved instances of home delivery</w:t>
      </w:r>
      <w:r w:rsidR="008A5612">
        <w:rPr>
          <w:lang w:val="en-AU"/>
        </w:rPr>
        <w:t xml:space="preserve"> and reimburse dispensing and delivery agents in line with these</w:t>
      </w:r>
      <w:r w:rsidR="00E75229">
        <w:rPr>
          <w:lang w:val="en-AU"/>
        </w:rPr>
        <w:t>, and the fees and rates outlined in this document</w:t>
      </w:r>
    </w:p>
    <w:p w14:paraId="4B63CB5B" w14:textId="3AABD3B2" w:rsidR="009D4F57" w:rsidRDefault="00BA31CD" w:rsidP="007C5B2F">
      <w:pPr>
        <w:pStyle w:val="ListParagraph"/>
        <w:numPr>
          <w:ilvl w:val="0"/>
          <w:numId w:val="15"/>
        </w:numPr>
        <w:spacing w:before="60" w:after="60"/>
        <w:contextualSpacing w:val="0"/>
        <w:rPr>
          <w:lang w:val="en-AU"/>
        </w:rPr>
      </w:pPr>
      <w:r>
        <w:rPr>
          <w:lang w:val="en-AU"/>
        </w:rPr>
        <w:t xml:space="preserve">monitor </w:t>
      </w:r>
      <w:r w:rsidR="009D4F57">
        <w:rPr>
          <w:lang w:val="en-AU"/>
        </w:rPr>
        <w:t>expenditure related to the home delivery program</w:t>
      </w:r>
    </w:p>
    <w:p w14:paraId="6D75A78F" w14:textId="77D82C89" w:rsidR="00510C62" w:rsidRDefault="00BA31CD" w:rsidP="007C5B2F">
      <w:pPr>
        <w:pStyle w:val="ListParagraph"/>
        <w:numPr>
          <w:ilvl w:val="0"/>
          <w:numId w:val="15"/>
        </w:numPr>
        <w:spacing w:before="60" w:after="60"/>
        <w:contextualSpacing w:val="0"/>
        <w:rPr>
          <w:lang w:val="en-AU"/>
        </w:rPr>
      </w:pPr>
      <w:r>
        <w:rPr>
          <w:lang w:val="en-AU"/>
        </w:rPr>
        <w:t xml:space="preserve">communicate </w:t>
      </w:r>
      <w:r w:rsidR="00510C62">
        <w:rPr>
          <w:lang w:val="en-AU"/>
        </w:rPr>
        <w:t xml:space="preserve">with </w:t>
      </w:r>
      <w:r w:rsidR="004A3497">
        <w:rPr>
          <w:lang w:val="en-AU"/>
        </w:rPr>
        <w:t>ADS</w:t>
      </w:r>
      <w:r w:rsidR="00D05645">
        <w:rPr>
          <w:lang w:val="en-AU"/>
        </w:rPr>
        <w:t xml:space="preserve"> and other prescribers</w:t>
      </w:r>
      <w:r w:rsidR="00510C62">
        <w:rPr>
          <w:lang w:val="en-AU"/>
        </w:rPr>
        <w:t xml:space="preserve"> as required</w:t>
      </w:r>
      <w:r w:rsidR="008A5612">
        <w:rPr>
          <w:lang w:val="en-AU"/>
        </w:rPr>
        <w:t>,</w:t>
      </w:r>
      <w:r w:rsidR="00510C62">
        <w:rPr>
          <w:lang w:val="en-AU"/>
        </w:rPr>
        <w:t xml:space="preserve"> </w:t>
      </w:r>
      <w:r w:rsidR="004737DA">
        <w:rPr>
          <w:lang w:val="en-AU"/>
        </w:rPr>
        <w:t>to fulfil the above points</w:t>
      </w:r>
      <w:r w:rsidR="009709FA">
        <w:rPr>
          <w:lang w:val="en-AU"/>
        </w:rPr>
        <w:t>.</w:t>
      </w:r>
    </w:p>
    <w:p w14:paraId="3B316B9F" w14:textId="77777777" w:rsidR="00481149" w:rsidRPr="00481149" w:rsidRDefault="00481149" w:rsidP="00481149">
      <w:pPr>
        <w:spacing w:before="60" w:after="60"/>
        <w:rPr>
          <w:lang w:val="en-AU"/>
        </w:rPr>
      </w:pPr>
    </w:p>
    <w:p w14:paraId="564554A8" w14:textId="6B2CFB92" w:rsidR="001114B5" w:rsidRPr="007C5B2F" w:rsidRDefault="001114B5" w:rsidP="007C5B2F">
      <w:pPr>
        <w:pStyle w:val="Heading1"/>
      </w:pPr>
      <w:r w:rsidRPr="007C5B2F">
        <w:t>Process</w:t>
      </w:r>
    </w:p>
    <w:p w14:paraId="37BC0D18" w14:textId="63995D15" w:rsidR="00B857FD" w:rsidRPr="007C5B2F" w:rsidRDefault="00E41CD3" w:rsidP="007C5B2F">
      <w:pPr>
        <w:pStyle w:val="Heading2"/>
      </w:pPr>
      <w:r w:rsidRPr="007C5B2F">
        <w:t>E</w:t>
      </w:r>
      <w:r w:rsidR="00220A27" w:rsidRPr="007C5B2F">
        <w:t>ligibility for delivery:</w:t>
      </w:r>
    </w:p>
    <w:p w14:paraId="67A7ED62" w14:textId="3F0D708E" w:rsidR="001B2845" w:rsidRDefault="00BB2B9C" w:rsidP="007C5B2F">
      <w:pPr>
        <w:spacing w:before="60" w:after="60"/>
        <w:rPr>
          <w:lang w:val="en-AU"/>
        </w:rPr>
      </w:pPr>
      <w:r>
        <w:rPr>
          <w:lang w:val="en-AU"/>
        </w:rPr>
        <w:t>Where</w:t>
      </w:r>
      <w:r w:rsidR="00377F2A">
        <w:rPr>
          <w:lang w:val="en-AU"/>
        </w:rPr>
        <w:t xml:space="preserve">ver possible, </w:t>
      </w:r>
      <w:r w:rsidR="001B2845">
        <w:rPr>
          <w:lang w:val="en-AU"/>
        </w:rPr>
        <w:t xml:space="preserve">ORT should be dispensed according to usual protocols and </w:t>
      </w:r>
      <w:r w:rsidR="001B2063">
        <w:rPr>
          <w:lang w:val="en-AU"/>
        </w:rPr>
        <w:t>practi</w:t>
      </w:r>
      <w:r w:rsidR="003A3E30">
        <w:rPr>
          <w:lang w:val="en-AU"/>
        </w:rPr>
        <w:t>s</w:t>
      </w:r>
      <w:r w:rsidR="001B2063">
        <w:rPr>
          <w:lang w:val="en-AU"/>
        </w:rPr>
        <w:t>es</w:t>
      </w:r>
      <w:r w:rsidR="00237E4F">
        <w:rPr>
          <w:lang w:val="en-AU"/>
        </w:rPr>
        <w:t xml:space="preserve">, as outlined in the TOPP Policy and Clinical </w:t>
      </w:r>
      <w:r w:rsidR="00477652">
        <w:rPr>
          <w:lang w:val="en-AU"/>
        </w:rPr>
        <w:t xml:space="preserve">Practice </w:t>
      </w:r>
      <w:r w:rsidR="00237E4F">
        <w:rPr>
          <w:lang w:val="en-AU"/>
        </w:rPr>
        <w:t>Standards</w:t>
      </w:r>
      <w:r w:rsidR="005557A3">
        <w:rPr>
          <w:lang w:val="en-AU"/>
        </w:rPr>
        <w:t>, including</w:t>
      </w:r>
      <w:r w:rsidR="00A87637">
        <w:rPr>
          <w:lang w:val="en-AU"/>
        </w:rPr>
        <w:t xml:space="preserve"> consideration of</w:t>
      </w:r>
      <w:r w:rsidR="00237E4F">
        <w:rPr>
          <w:lang w:val="en-AU"/>
        </w:rPr>
        <w:t xml:space="preserve"> </w:t>
      </w:r>
      <w:r w:rsidR="006B6D04">
        <w:rPr>
          <w:lang w:val="en-AU"/>
        </w:rPr>
        <w:t xml:space="preserve">clinical and other </w:t>
      </w:r>
      <w:r w:rsidR="00237E4F">
        <w:rPr>
          <w:lang w:val="en-AU"/>
        </w:rPr>
        <w:t xml:space="preserve">eligibility criteria for </w:t>
      </w:r>
      <w:r w:rsidR="006B6D04">
        <w:rPr>
          <w:lang w:val="en-AU"/>
        </w:rPr>
        <w:t>ORT</w:t>
      </w:r>
      <w:r w:rsidR="007A6461">
        <w:rPr>
          <w:lang w:val="en-AU"/>
        </w:rPr>
        <w:t xml:space="preserve">, as articulated in Section 5 - </w:t>
      </w:r>
      <w:r w:rsidR="004F76C6" w:rsidRPr="005557A3">
        <w:rPr>
          <w:i/>
          <w:iCs/>
        </w:rPr>
        <w:t>Assessment for entry into the Opioid Pharmacotherapy Program</w:t>
      </w:r>
      <w:r w:rsidR="00237E4F">
        <w:rPr>
          <w:lang w:val="en-AU"/>
        </w:rPr>
        <w:t>.</w:t>
      </w:r>
      <w:r w:rsidR="005557A3">
        <w:rPr>
          <w:lang w:val="en-AU"/>
        </w:rPr>
        <w:t xml:space="preserve"> </w:t>
      </w:r>
      <w:r w:rsidR="00CC08AD">
        <w:rPr>
          <w:lang w:val="en-AU"/>
        </w:rPr>
        <w:t>U</w:t>
      </w:r>
      <w:r w:rsidR="005557A3">
        <w:rPr>
          <w:lang w:val="en-AU"/>
        </w:rPr>
        <w:t>sual practice</w:t>
      </w:r>
      <w:r w:rsidR="00CC08AD">
        <w:rPr>
          <w:lang w:val="en-AU"/>
        </w:rPr>
        <w:t xml:space="preserve"> for</w:t>
      </w:r>
      <w:r w:rsidR="005557A3">
        <w:rPr>
          <w:lang w:val="en-AU"/>
        </w:rPr>
        <w:t xml:space="preserve"> ORT dosage </w:t>
      </w:r>
      <w:r w:rsidR="00CC08AD">
        <w:rPr>
          <w:lang w:val="en-AU"/>
        </w:rPr>
        <w:t xml:space="preserve">takes place </w:t>
      </w:r>
      <w:r w:rsidR="005557A3">
        <w:rPr>
          <w:lang w:val="en-AU"/>
        </w:rPr>
        <w:t>in a pharmacy or health setting, but t</w:t>
      </w:r>
      <w:r w:rsidR="005E2FB9">
        <w:rPr>
          <w:lang w:val="en-AU"/>
        </w:rPr>
        <w:t>here are s</w:t>
      </w:r>
      <w:r w:rsidR="004A3802">
        <w:rPr>
          <w:lang w:val="en-AU"/>
        </w:rPr>
        <w:t xml:space="preserve">ituations </w:t>
      </w:r>
      <w:r w:rsidR="005E2FB9">
        <w:rPr>
          <w:lang w:val="en-AU"/>
        </w:rPr>
        <w:t xml:space="preserve">in which </w:t>
      </w:r>
      <w:r w:rsidR="00EF58C3">
        <w:rPr>
          <w:lang w:val="en-AU"/>
        </w:rPr>
        <w:t xml:space="preserve">ORT dosage in </w:t>
      </w:r>
      <w:r w:rsidR="005557A3">
        <w:rPr>
          <w:lang w:val="en-AU"/>
        </w:rPr>
        <w:t xml:space="preserve">these settings </w:t>
      </w:r>
      <w:r w:rsidR="004A3802">
        <w:rPr>
          <w:lang w:val="en-AU"/>
        </w:rPr>
        <w:t>may not be possible</w:t>
      </w:r>
      <w:r w:rsidR="005E2FB9">
        <w:rPr>
          <w:lang w:val="en-AU"/>
        </w:rPr>
        <w:t>. These</w:t>
      </w:r>
      <w:r w:rsidR="004A3802">
        <w:rPr>
          <w:lang w:val="en-AU"/>
        </w:rPr>
        <w:t xml:space="preserve"> include</w:t>
      </w:r>
      <w:r w:rsidR="00EF58C3">
        <w:rPr>
          <w:lang w:val="en-AU"/>
        </w:rPr>
        <w:t>:</w:t>
      </w:r>
    </w:p>
    <w:p w14:paraId="212EEFF6" w14:textId="17D3999F" w:rsidR="004A3802" w:rsidRDefault="00713933" w:rsidP="007C5B2F">
      <w:pPr>
        <w:pStyle w:val="ListParagraph"/>
        <w:numPr>
          <w:ilvl w:val="0"/>
          <w:numId w:val="7"/>
        </w:numPr>
        <w:spacing w:before="60" w:after="60"/>
        <w:contextualSpacing w:val="0"/>
        <w:rPr>
          <w:lang w:val="en-AU"/>
        </w:rPr>
      </w:pPr>
      <w:r>
        <w:rPr>
          <w:lang w:val="en-AU"/>
        </w:rPr>
        <w:t xml:space="preserve">A </w:t>
      </w:r>
      <w:r w:rsidR="00327D89">
        <w:rPr>
          <w:lang w:val="en-AU"/>
        </w:rPr>
        <w:t>patient</w:t>
      </w:r>
      <w:r w:rsidR="004A3802">
        <w:rPr>
          <w:lang w:val="en-AU"/>
        </w:rPr>
        <w:t xml:space="preserve"> requiring </w:t>
      </w:r>
      <w:r>
        <w:rPr>
          <w:lang w:val="en-AU"/>
        </w:rPr>
        <w:t xml:space="preserve">or receiving </w:t>
      </w:r>
      <w:r w:rsidR="004A3802">
        <w:rPr>
          <w:lang w:val="en-AU"/>
        </w:rPr>
        <w:t xml:space="preserve">ORT </w:t>
      </w:r>
      <w:r>
        <w:rPr>
          <w:lang w:val="en-AU"/>
        </w:rPr>
        <w:t xml:space="preserve">is </w:t>
      </w:r>
      <w:r w:rsidR="004A3802">
        <w:rPr>
          <w:lang w:val="en-AU"/>
        </w:rPr>
        <w:t xml:space="preserve">in </w:t>
      </w:r>
      <w:r>
        <w:rPr>
          <w:lang w:val="en-AU"/>
        </w:rPr>
        <w:t>S</w:t>
      </w:r>
      <w:r w:rsidR="004A3802">
        <w:rPr>
          <w:lang w:val="en-AU"/>
        </w:rPr>
        <w:t>tate</w:t>
      </w:r>
      <w:r w:rsidR="004A3802">
        <w:rPr>
          <w:lang w:val="en-AU"/>
        </w:rPr>
        <w:noBreakHyphen/>
        <w:t>run quarantine</w:t>
      </w:r>
      <w:r w:rsidR="005E2FB9">
        <w:rPr>
          <w:lang w:val="en-AU"/>
        </w:rPr>
        <w:t xml:space="preserve"> as a requirement of infectious disease protocols</w:t>
      </w:r>
    </w:p>
    <w:p w14:paraId="1D3C0E79" w14:textId="3C106EFA" w:rsidR="00757722" w:rsidRDefault="00713933" w:rsidP="007C5B2F">
      <w:pPr>
        <w:pStyle w:val="ListParagraph"/>
        <w:numPr>
          <w:ilvl w:val="0"/>
          <w:numId w:val="7"/>
        </w:numPr>
        <w:spacing w:before="60" w:after="60"/>
        <w:contextualSpacing w:val="0"/>
        <w:rPr>
          <w:lang w:val="en-AU"/>
        </w:rPr>
      </w:pPr>
      <w:r>
        <w:rPr>
          <w:lang w:val="en-AU"/>
        </w:rPr>
        <w:lastRenderedPageBreak/>
        <w:t xml:space="preserve">A </w:t>
      </w:r>
      <w:r w:rsidR="00327D89">
        <w:rPr>
          <w:lang w:val="en-AU"/>
        </w:rPr>
        <w:t>patient</w:t>
      </w:r>
      <w:r w:rsidR="00757722">
        <w:rPr>
          <w:lang w:val="en-AU"/>
        </w:rPr>
        <w:t xml:space="preserve"> </w:t>
      </w:r>
      <w:r>
        <w:rPr>
          <w:lang w:val="en-AU"/>
        </w:rPr>
        <w:t xml:space="preserve">receiving </w:t>
      </w:r>
      <w:r w:rsidR="00757722">
        <w:rPr>
          <w:lang w:val="en-AU"/>
        </w:rPr>
        <w:t xml:space="preserve">ORT </w:t>
      </w:r>
      <w:r w:rsidR="00C33620">
        <w:rPr>
          <w:lang w:val="en-AU"/>
        </w:rPr>
        <w:t xml:space="preserve">has significant vulnerability to </w:t>
      </w:r>
      <w:r w:rsidR="00AD7D81">
        <w:rPr>
          <w:lang w:val="en-AU"/>
        </w:rPr>
        <w:t xml:space="preserve">the infectious </w:t>
      </w:r>
      <w:r w:rsidR="00C33620">
        <w:rPr>
          <w:lang w:val="en-AU"/>
        </w:rPr>
        <w:t>disease and is self</w:t>
      </w:r>
      <w:r w:rsidR="00C33620">
        <w:rPr>
          <w:lang w:val="en-AU"/>
        </w:rPr>
        <w:noBreakHyphen/>
        <w:t xml:space="preserve">isolating at </w:t>
      </w:r>
      <w:r w:rsidR="003A3E30">
        <w:rPr>
          <w:lang w:val="en-AU"/>
        </w:rPr>
        <w:t>a private residence</w:t>
      </w:r>
      <w:r w:rsidR="00C33620">
        <w:rPr>
          <w:lang w:val="en-AU"/>
        </w:rPr>
        <w:t xml:space="preserve"> as a precautionary measure</w:t>
      </w:r>
      <w:r w:rsidR="00AD7D81">
        <w:rPr>
          <w:lang w:val="en-AU"/>
        </w:rPr>
        <w:t xml:space="preserve"> (</w:t>
      </w:r>
      <w:proofErr w:type="gramStart"/>
      <w:r w:rsidR="00AD7D81">
        <w:rPr>
          <w:lang w:val="en-AU"/>
        </w:rPr>
        <w:t>e.g.</w:t>
      </w:r>
      <w:proofErr w:type="gramEnd"/>
      <w:r w:rsidR="00AD7D81">
        <w:rPr>
          <w:lang w:val="en-AU"/>
        </w:rPr>
        <w:t xml:space="preserve"> during an infectious disease outbreak)</w:t>
      </w:r>
      <w:r w:rsidR="00F22E7E">
        <w:rPr>
          <w:lang w:val="en-AU"/>
        </w:rPr>
        <w:t>. This precautionary measure must be supported by the medical practitioner responsible for treating or managing the condition that causes, or results in, the vulnerability</w:t>
      </w:r>
      <w:r w:rsidR="002966AB">
        <w:rPr>
          <w:lang w:val="en-AU"/>
        </w:rPr>
        <w:t>, and communicated to the ORT prescriber.</w:t>
      </w:r>
      <w:r w:rsidR="008957C7">
        <w:rPr>
          <w:lang w:val="en-AU"/>
        </w:rPr>
        <w:t xml:space="preserve"> </w:t>
      </w:r>
    </w:p>
    <w:p w14:paraId="461D3F20" w14:textId="76D957FB" w:rsidR="00DF5B76" w:rsidRDefault="007D62EE" w:rsidP="007C5B2F">
      <w:pPr>
        <w:pStyle w:val="ListParagraph"/>
        <w:numPr>
          <w:ilvl w:val="0"/>
          <w:numId w:val="7"/>
        </w:numPr>
        <w:spacing w:before="60" w:after="60"/>
        <w:contextualSpacing w:val="0"/>
        <w:rPr>
          <w:lang w:val="en-AU"/>
        </w:rPr>
      </w:pPr>
      <w:r>
        <w:rPr>
          <w:lang w:val="en-AU"/>
        </w:rPr>
        <w:t xml:space="preserve">A </w:t>
      </w:r>
      <w:r w:rsidR="00327D89">
        <w:rPr>
          <w:lang w:val="en-AU"/>
        </w:rPr>
        <w:t>patient</w:t>
      </w:r>
      <w:r w:rsidR="004A3802">
        <w:rPr>
          <w:lang w:val="en-AU"/>
        </w:rPr>
        <w:t xml:space="preserve"> </w:t>
      </w:r>
      <w:r>
        <w:rPr>
          <w:lang w:val="en-AU"/>
        </w:rPr>
        <w:t xml:space="preserve">receiving ORT </w:t>
      </w:r>
      <w:r w:rsidR="00B66DB1">
        <w:rPr>
          <w:lang w:val="en-AU"/>
        </w:rPr>
        <w:t>is required</w:t>
      </w:r>
      <w:r w:rsidR="003E03CF">
        <w:rPr>
          <w:lang w:val="en-AU"/>
        </w:rPr>
        <w:t xml:space="preserve"> </w:t>
      </w:r>
      <w:r w:rsidR="00973F53">
        <w:rPr>
          <w:lang w:val="en-AU"/>
        </w:rPr>
        <w:t>to self</w:t>
      </w:r>
      <w:r w:rsidR="00973F53">
        <w:rPr>
          <w:lang w:val="en-AU"/>
        </w:rPr>
        <w:noBreakHyphen/>
        <w:t xml:space="preserve">isolate </w:t>
      </w:r>
      <w:r w:rsidR="00590F7C">
        <w:rPr>
          <w:lang w:val="en-AU"/>
        </w:rPr>
        <w:t xml:space="preserve">at a private residence </w:t>
      </w:r>
      <w:r w:rsidR="00DF5B76">
        <w:rPr>
          <w:lang w:val="en-AU"/>
        </w:rPr>
        <w:t>for reasons i</w:t>
      </w:r>
      <w:r w:rsidR="008A7FF1" w:rsidRPr="00DF5B76">
        <w:rPr>
          <w:lang w:val="en-AU"/>
        </w:rPr>
        <w:t>ncluding, but not limited to</w:t>
      </w:r>
      <w:r w:rsidR="008A36EF">
        <w:rPr>
          <w:lang w:val="en-AU"/>
        </w:rPr>
        <w:t>:</w:t>
      </w:r>
      <w:r w:rsidR="008A36EF" w:rsidRPr="00DF5B76">
        <w:rPr>
          <w:lang w:val="en-AU"/>
        </w:rPr>
        <w:t xml:space="preserve"> </w:t>
      </w:r>
    </w:p>
    <w:p w14:paraId="33DB3646" w14:textId="1E734D23" w:rsidR="00DF5B76" w:rsidRDefault="004546EE" w:rsidP="007C5B2F">
      <w:pPr>
        <w:pStyle w:val="ListParagraph"/>
        <w:numPr>
          <w:ilvl w:val="1"/>
          <w:numId w:val="7"/>
        </w:numPr>
        <w:spacing w:before="60" w:after="60"/>
        <w:contextualSpacing w:val="0"/>
        <w:rPr>
          <w:lang w:val="en-AU"/>
        </w:rPr>
      </w:pPr>
      <w:r w:rsidRPr="00DF5B76">
        <w:rPr>
          <w:lang w:val="en-AU"/>
        </w:rPr>
        <w:t>returning from interstate</w:t>
      </w:r>
      <w:r w:rsidR="008E627A">
        <w:rPr>
          <w:lang w:val="en-AU"/>
        </w:rPr>
        <w:t xml:space="preserve"> or </w:t>
      </w:r>
      <w:proofErr w:type="gramStart"/>
      <w:r w:rsidR="008E627A">
        <w:rPr>
          <w:lang w:val="en-AU"/>
        </w:rPr>
        <w:t>overseas</w:t>
      </w:r>
      <w:r w:rsidR="007E08C6" w:rsidRPr="00DF5B76">
        <w:rPr>
          <w:lang w:val="en-AU"/>
        </w:rPr>
        <w:t>;</w:t>
      </w:r>
      <w:proofErr w:type="gramEnd"/>
      <w:r w:rsidR="007E08C6" w:rsidRPr="00DF5B76">
        <w:rPr>
          <w:lang w:val="en-AU"/>
        </w:rPr>
        <w:t xml:space="preserve"> </w:t>
      </w:r>
    </w:p>
    <w:p w14:paraId="421DE23D" w14:textId="4506CB17" w:rsidR="00DF5B76" w:rsidRDefault="004546EE" w:rsidP="007C5B2F">
      <w:pPr>
        <w:pStyle w:val="ListParagraph"/>
        <w:numPr>
          <w:ilvl w:val="1"/>
          <w:numId w:val="7"/>
        </w:numPr>
        <w:spacing w:before="60" w:after="60"/>
        <w:contextualSpacing w:val="0"/>
        <w:rPr>
          <w:lang w:val="en-AU"/>
        </w:rPr>
      </w:pPr>
      <w:r w:rsidRPr="00DF5B76">
        <w:rPr>
          <w:lang w:val="en-AU"/>
        </w:rPr>
        <w:t>potential exposure</w:t>
      </w:r>
      <w:r w:rsidR="00021DB6">
        <w:rPr>
          <w:lang w:val="en-AU"/>
        </w:rPr>
        <w:t xml:space="preserve"> to</w:t>
      </w:r>
      <w:r w:rsidR="003E03CF">
        <w:rPr>
          <w:lang w:val="en-AU"/>
        </w:rPr>
        <w:t xml:space="preserve"> infectious disease</w:t>
      </w:r>
      <w:r w:rsidR="008E627A">
        <w:rPr>
          <w:lang w:val="en-AU"/>
        </w:rPr>
        <w:t xml:space="preserve"> requiring isolation or </w:t>
      </w:r>
      <w:proofErr w:type="gramStart"/>
      <w:r w:rsidR="008E627A">
        <w:rPr>
          <w:lang w:val="en-AU"/>
        </w:rPr>
        <w:t>quarantine</w:t>
      </w:r>
      <w:r w:rsidR="007E08C6" w:rsidRPr="00DF5B76">
        <w:rPr>
          <w:lang w:val="en-AU"/>
        </w:rPr>
        <w:t>;</w:t>
      </w:r>
      <w:proofErr w:type="gramEnd"/>
      <w:r w:rsidRPr="00DF5B76">
        <w:rPr>
          <w:lang w:val="en-AU"/>
        </w:rPr>
        <w:t xml:space="preserve"> </w:t>
      </w:r>
    </w:p>
    <w:p w14:paraId="01AFF6BB" w14:textId="6B370E09" w:rsidR="008E627A" w:rsidRDefault="008E627A" w:rsidP="007C5B2F">
      <w:pPr>
        <w:pStyle w:val="ListParagraph"/>
        <w:numPr>
          <w:ilvl w:val="1"/>
          <w:numId w:val="7"/>
        </w:numPr>
        <w:spacing w:before="60" w:after="60"/>
        <w:contextualSpacing w:val="0"/>
        <w:rPr>
          <w:lang w:val="en-AU"/>
        </w:rPr>
      </w:pPr>
      <w:r>
        <w:rPr>
          <w:lang w:val="en-AU"/>
        </w:rPr>
        <w:t xml:space="preserve">confirmed exposure to infectious disease requiring isolation or </w:t>
      </w:r>
      <w:proofErr w:type="gramStart"/>
      <w:r>
        <w:rPr>
          <w:lang w:val="en-AU"/>
        </w:rPr>
        <w:t>quarantine;</w:t>
      </w:r>
      <w:proofErr w:type="gramEnd"/>
    </w:p>
    <w:p w14:paraId="34AA3AB4" w14:textId="5AF14C8E" w:rsidR="004A3802" w:rsidRDefault="004546EE" w:rsidP="007C5B2F">
      <w:pPr>
        <w:pStyle w:val="ListParagraph"/>
        <w:numPr>
          <w:ilvl w:val="1"/>
          <w:numId w:val="7"/>
        </w:numPr>
        <w:spacing w:before="60" w:after="60"/>
        <w:contextualSpacing w:val="0"/>
        <w:rPr>
          <w:lang w:val="en-AU"/>
        </w:rPr>
      </w:pPr>
      <w:r w:rsidRPr="00DF5B76">
        <w:rPr>
          <w:lang w:val="en-AU"/>
        </w:rPr>
        <w:t>waiting for diagnostic test result</w:t>
      </w:r>
      <w:r w:rsidR="008A7FF1" w:rsidRPr="00DF5B76">
        <w:rPr>
          <w:lang w:val="en-AU"/>
        </w:rPr>
        <w:t>s</w:t>
      </w:r>
      <w:r w:rsidRPr="00DF5B76">
        <w:rPr>
          <w:lang w:val="en-AU"/>
        </w:rPr>
        <w:t xml:space="preserve"> </w:t>
      </w:r>
      <w:r w:rsidR="000E644D">
        <w:rPr>
          <w:lang w:val="en-AU"/>
        </w:rPr>
        <w:t>regarding infectious disease requiring isolation or quarantine if diagnosis is confirmed; or</w:t>
      </w:r>
    </w:p>
    <w:p w14:paraId="0D67DA76" w14:textId="0B1FC6E5" w:rsidR="00DF5B76" w:rsidRDefault="00DF5B76" w:rsidP="007C5B2F">
      <w:pPr>
        <w:pStyle w:val="ListParagraph"/>
        <w:numPr>
          <w:ilvl w:val="1"/>
          <w:numId w:val="7"/>
        </w:numPr>
        <w:spacing w:before="60" w:after="60"/>
        <w:contextualSpacing w:val="0"/>
        <w:rPr>
          <w:lang w:val="en-AU"/>
        </w:rPr>
      </w:pPr>
      <w:r>
        <w:rPr>
          <w:lang w:val="en-AU"/>
        </w:rPr>
        <w:t xml:space="preserve">confirmed </w:t>
      </w:r>
      <w:r w:rsidR="00590F7C">
        <w:rPr>
          <w:lang w:val="en-AU"/>
        </w:rPr>
        <w:t>infection</w:t>
      </w:r>
      <w:r w:rsidR="000E644D">
        <w:rPr>
          <w:lang w:val="en-AU"/>
        </w:rPr>
        <w:t xml:space="preserve"> of infectious disease requiring isolation or quarantine.</w:t>
      </w:r>
    </w:p>
    <w:p w14:paraId="75947859" w14:textId="5D9C8F2A" w:rsidR="00021DB6" w:rsidRDefault="00021DB6" w:rsidP="000E644D">
      <w:pPr>
        <w:spacing w:before="60" w:after="60"/>
        <w:rPr>
          <w:lang w:val="en-AU"/>
        </w:rPr>
      </w:pPr>
      <w:r w:rsidRPr="000E644D">
        <w:rPr>
          <w:b/>
          <w:bCs/>
          <w:lang w:val="en-AU"/>
        </w:rPr>
        <w:t xml:space="preserve">NB </w:t>
      </w:r>
      <w:r w:rsidRPr="000E644D">
        <w:rPr>
          <w:lang w:val="en-AU"/>
        </w:rPr>
        <w:t>– eligibility to self</w:t>
      </w:r>
      <w:r w:rsidRPr="000E644D">
        <w:rPr>
          <w:lang w:val="en-AU"/>
        </w:rPr>
        <w:noBreakHyphen/>
        <w:t xml:space="preserve">isolate at </w:t>
      </w:r>
      <w:r w:rsidR="003A3E30">
        <w:rPr>
          <w:lang w:val="en-AU"/>
        </w:rPr>
        <w:t xml:space="preserve">a </w:t>
      </w:r>
      <w:r w:rsidRPr="000E644D">
        <w:rPr>
          <w:lang w:val="en-AU"/>
        </w:rPr>
        <w:t>private residence is determined by State and Federal Government legislation and policy</w:t>
      </w:r>
      <w:r w:rsidR="005557A3">
        <w:rPr>
          <w:lang w:val="en-AU"/>
        </w:rPr>
        <w:t xml:space="preserve"> and associated approvals</w:t>
      </w:r>
      <w:r w:rsidR="00BF7D2F">
        <w:rPr>
          <w:lang w:val="en-AU"/>
        </w:rPr>
        <w:t>.</w:t>
      </w:r>
    </w:p>
    <w:p w14:paraId="4C3C0AA7" w14:textId="77777777" w:rsidR="00FC1DBC" w:rsidRDefault="00FC1DBC" w:rsidP="000E644D">
      <w:pPr>
        <w:spacing w:before="60" w:after="60"/>
        <w:rPr>
          <w:lang w:val="en-AU"/>
        </w:rPr>
      </w:pPr>
    </w:p>
    <w:p w14:paraId="58D8370D" w14:textId="7E2BD356" w:rsidR="00E41CD3" w:rsidRPr="007C5B2F" w:rsidRDefault="00E41CD3" w:rsidP="007C5B2F">
      <w:pPr>
        <w:pStyle w:val="Heading2"/>
      </w:pPr>
      <w:r w:rsidRPr="007C5B2F">
        <w:t xml:space="preserve">Approval of </w:t>
      </w:r>
      <w:r w:rsidR="0002317E" w:rsidRPr="007C5B2F">
        <w:t>ORT</w:t>
      </w:r>
      <w:r w:rsidRPr="007C5B2F">
        <w:t xml:space="preserve"> delivery:</w:t>
      </w:r>
    </w:p>
    <w:p w14:paraId="4E4B58C5" w14:textId="370D6FCB" w:rsidR="007D03D0" w:rsidRDefault="00B12001" w:rsidP="007C5B2F">
      <w:pPr>
        <w:spacing w:before="60" w:after="60"/>
        <w:rPr>
          <w:lang w:val="en-AU"/>
        </w:rPr>
      </w:pPr>
      <w:r>
        <w:rPr>
          <w:lang w:val="en-AU"/>
        </w:rPr>
        <w:t xml:space="preserve">Delivery of ORT to </w:t>
      </w:r>
      <w:r w:rsidR="003A3E30">
        <w:rPr>
          <w:lang w:val="en-AU"/>
        </w:rPr>
        <w:t xml:space="preserve">a </w:t>
      </w:r>
      <w:r>
        <w:rPr>
          <w:lang w:val="en-AU"/>
        </w:rPr>
        <w:t>State</w:t>
      </w:r>
      <w:r>
        <w:rPr>
          <w:lang w:val="en-AU"/>
        </w:rPr>
        <w:noBreakHyphen/>
        <w:t>run quarantine facilit</w:t>
      </w:r>
      <w:r w:rsidR="003A3E30">
        <w:rPr>
          <w:lang w:val="en-AU"/>
        </w:rPr>
        <w:t>y</w:t>
      </w:r>
      <w:r>
        <w:rPr>
          <w:lang w:val="en-AU"/>
        </w:rPr>
        <w:t xml:space="preserve"> or </w:t>
      </w:r>
      <w:r w:rsidR="003A3E30">
        <w:rPr>
          <w:lang w:val="en-AU"/>
        </w:rPr>
        <w:t xml:space="preserve">a </w:t>
      </w:r>
      <w:r>
        <w:rPr>
          <w:lang w:val="en-AU"/>
        </w:rPr>
        <w:t>private residence must be approved by the</w:t>
      </w:r>
      <w:r w:rsidR="00BA4159">
        <w:rPr>
          <w:lang w:val="en-AU"/>
        </w:rPr>
        <w:t xml:space="preserve"> patient’s prescriber</w:t>
      </w:r>
      <w:r w:rsidR="00380067">
        <w:rPr>
          <w:lang w:val="en-AU"/>
        </w:rPr>
        <w:t xml:space="preserve">, </w:t>
      </w:r>
      <w:r w:rsidR="00A01D81">
        <w:rPr>
          <w:lang w:val="en-AU"/>
        </w:rPr>
        <w:t xml:space="preserve">with consideration given to </w:t>
      </w:r>
      <w:r w:rsidR="00826F48">
        <w:rPr>
          <w:lang w:val="en-AU"/>
        </w:rPr>
        <w:t>the TOPP Policy and Clinical Practice Guidelines and any relevant directions issued, or provided, by the ADS</w:t>
      </w:r>
      <w:r w:rsidR="00A01D81">
        <w:rPr>
          <w:lang w:val="en-AU"/>
        </w:rPr>
        <w:t xml:space="preserve"> (for example, interim instructions in place relating to the pandemic or infectious disease outbreak)</w:t>
      </w:r>
      <w:r w:rsidR="00826F48">
        <w:rPr>
          <w:lang w:val="en-AU"/>
        </w:rPr>
        <w:t>.</w:t>
      </w:r>
      <w:r>
        <w:rPr>
          <w:lang w:val="en-AU"/>
        </w:rPr>
        <w:t xml:space="preserve"> </w:t>
      </w:r>
    </w:p>
    <w:p w14:paraId="7CE3C6E5" w14:textId="08D43157" w:rsidR="00A07769" w:rsidRDefault="00D95760" w:rsidP="007C5B2F">
      <w:pPr>
        <w:spacing w:before="60" w:after="60"/>
        <w:rPr>
          <w:lang w:val="en-AU"/>
        </w:rPr>
      </w:pPr>
      <w:r>
        <w:rPr>
          <w:lang w:val="en-AU"/>
        </w:rPr>
        <w:t>Subject to service capacity, the Clinical Director ADS</w:t>
      </w:r>
      <w:r w:rsidR="00D53BA1">
        <w:rPr>
          <w:lang w:val="en-AU"/>
        </w:rPr>
        <w:t xml:space="preserve"> (or delegate)</w:t>
      </w:r>
      <w:r>
        <w:rPr>
          <w:lang w:val="en-AU"/>
        </w:rPr>
        <w:t xml:space="preserve"> will approve variation of prescription </w:t>
      </w:r>
      <w:r w:rsidR="002A7B36">
        <w:rPr>
          <w:lang w:val="en-AU"/>
        </w:rPr>
        <w:t xml:space="preserve">and/or delivery </w:t>
      </w:r>
      <w:r w:rsidR="00EF219A">
        <w:rPr>
          <w:lang w:val="en-AU"/>
        </w:rPr>
        <w:t>of ORT for p</w:t>
      </w:r>
      <w:r w:rsidR="001D41C9">
        <w:rPr>
          <w:lang w:val="en-AU"/>
        </w:rPr>
        <w:t>atients</w:t>
      </w:r>
      <w:r w:rsidR="00C61919">
        <w:rPr>
          <w:lang w:val="en-AU"/>
        </w:rPr>
        <w:t xml:space="preserve"> who are required to quarantine due to</w:t>
      </w:r>
      <w:r w:rsidR="00D53BA1">
        <w:rPr>
          <w:lang w:val="en-AU"/>
        </w:rPr>
        <w:t xml:space="preserve"> transferring from other jurisdictions</w:t>
      </w:r>
      <w:r w:rsidR="00C61919">
        <w:rPr>
          <w:lang w:val="en-AU"/>
        </w:rPr>
        <w:t xml:space="preserve">, and who do not have </w:t>
      </w:r>
      <w:r w:rsidR="00D53BA1">
        <w:rPr>
          <w:lang w:val="en-AU"/>
        </w:rPr>
        <w:t>prescribing arrangements in place prior to arrival</w:t>
      </w:r>
      <w:r w:rsidR="00A07769">
        <w:rPr>
          <w:lang w:val="en-AU"/>
        </w:rPr>
        <w:t>.</w:t>
      </w:r>
    </w:p>
    <w:p w14:paraId="56AFF8ED" w14:textId="3373B1D4" w:rsidR="001C659F" w:rsidRDefault="001C659F" w:rsidP="001C659F">
      <w:pPr>
        <w:pStyle w:val="Heading3"/>
        <w:rPr>
          <w:lang w:val="en-AU"/>
        </w:rPr>
      </w:pPr>
      <w:r>
        <w:rPr>
          <w:lang w:val="en-AU"/>
        </w:rPr>
        <w:t>Delivery by third</w:t>
      </w:r>
      <w:r>
        <w:rPr>
          <w:lang w:val="en-AU"/>
        </w:rPr>
        <w:noBreakHyphen/>
        <w:t>party agents</w:t>
      </w:r>
    </w:p>
    <w:p w14:paraId="53C72ABF" w14:textId="091716B4" w:rsidR="001C659F" w:rsidRDefault="00BB7253" w:rsidP="001C659F">
      <w:pPr>
        <w:spacing w:before="60" w:after="60"/>
        <w:rPr>
          <w:lang w:val="en-AU"/>
        </w:rPr>
      </w:pPr>
      <w:r>
        <w:rPr>
          <w:lang w:val="en-AU"/>
        </w:rPr>
        <w:t>T</w:t>
      </w:r>
      <w:r w:rsidR="001C659F">
        <w:rPr>
          <w:lang w:val="en-AU"/>
        </w:rPr>
        <w:t>he prescriber must consider whether there is an appropriate third</w:t>
      </w:r>
      <w:r w:rsidR="001C659F">
        <w:rPr>
          <w:lang w:val="en-AU"/>
        </w:rPr>
        <w:noBreakHyphen/>
        <w:t>party agent available to collect ORT from the dispensing site and deliver to the patient</w:t>
      </w:r>
      <w:r w:rsidR="00F07F27">
        <w:rPr>
          <w:lang w:val="en-AU"/>
        </w:rPr>
        <w:t>,</w:t>
      </w:r>
      <w:r w:rsidR="00F24D32">
        <w:rPr>
          <w:lang w:val="en-AU"/>
        </w:rPr>
        <w:t xml:space="preserve"> prior to approval of ORT delivery by a pharmacy. D</w:t>
      </w:r>
      <w:r w:rsidR="001C659F">
        <w:rPr>
          <w:lang w:val="en-AU"/>
        </w:rPr>
        <w:t xml:space="preserve">elivery of ORT by a pharmacy </w:t>
      </w:r>
      <w:r w:rsidR="00F24D32">
        <w:rPr>
          <w:lang w:val="en-AU"/>
        </w:rPr>
        <w:t xml:space="preserve">should only be </w:t>
      </w:r>
      <w:r w:rsidR="001C659F">
        <w:rPr>
          <w:lang w:val="en-AU"/>
        </w:rPr>
        <w:t xml:space="preserve">approved </w:t>
      </w:r>
      <w:r w:rsidR="00F07F27">
        <w:rPr>
          <w:lang w:val="en-AU"/>
        </w:rPr>
        <w:t xml:space="preserve">only </w:t>
      </w:r>
      <w:r w:rsidR="001C659F">
        <w:rPr>
          <w:lang w:val="en-AU"/>
        </w:rPr>
        <w:t>if there is no suitable third</w:t>
      </w:r>
      <w:r w:rsidR="00136A29">
        <w:rPr>
          <w:lang w:val="en-AU"/>
        </w:rPr>
        <w:noBreakHyphen/>
      </w:r>
      <w:r w:rsidR="001C659F">
        <w:rPr>
          <w:lang w:val="en-AU"/>
        </w:rPr>
        <w:t xml:space="preserve">party agent. </w:t>
      </w:r>
    </w:p>
    <w:p w14:paraId="1ABFD59A" w14:textId="77777777" w:rsidR="001C659F" w:rsidRDefault="001C659F" w:rsidP="001C659F">
      <w:pPr>
        <w:spacing w:before="60" w:after="60"/>
        <w:rPr>
          <w:lang w:val="en-AU"/>
        </w:rPr>
      </w:pPr>
      <w:r>
        <w:rPr>
          <w:lang w:val="en-AU"/>
        </w:rPr>
        <w:t xml:space="preserve">Examples of an appropriate agent include a partner, family member, friend or carer nominated by the patient, where the prescribing agent is satisfied that there are no risks involved in delivery, </w:t>
      </w:r>
      <w:proofErr w:type="gramStart"/>
      <w:r>
        <w:rPr>
          <w:lang w:val="en-AU"/>
        </w:rPr>
        <w:t>transport</w:t>
      </w:r>
      <w:proofErr w:type="gramEnd"/>
      <w:r>
        <w:rPr>
          <w:lang w:val="en-AU"/>
        </w:rPr>
        <w:t xml:space="preserve"> or storage of ORT, such as medication diversion. </w:t>
      </w:r>
    </w:p>
    <w:p w14:paraId="60055B90" w14:textId="77777777" w:rsidR="001C659F" w:rsidRDefault="001C659F" w:rsidP="007C5B2F">
      <w:pPr>
        <w:spacing w:before="60" w:after="60"/>
        <w:rPr>
          <w:lang w:val="en-AU"/>
        </w:rPr>
      </w:pPr>
    </w:p>
    <w:p w14:paraId="05526985" w14:textId="41AA1B58" w:rsidR="00E95859" w:rsidRPr="007C5B2F" w:rsidRDefault="00E95859" w:rsidP="007C5B2F">
      <w:pPr>
        <w:pStyle w:val="Heading2"/>
      </w:pPr>
      <w:r w:rsidRPr="007C5B2F">
        <w:t>Variation of prescription</w:t>
      </w:r>
    </w:p>
    <w:p w14:paraId="218CA2E5" w14:textId="779DB8D5" w:rsidR="005E275B" w:rsidRDefault="005557A3" w:rsidP="007C5B2F">
      <w:pPr>
        <w:spacing w:before="60" w:after="60"/>
        <w:rPr>
          <w:lang w:val="en-AU"/>
        </w:rPr>
      </w:pPr>
      <w:r>
        <w:rPr>
          <w:lang w:val="en-AU"/>
        </w:rPr>
        <w:t>After approval of ORT delivery to State</w:t>
      </w:r>
      <w:r>
        <w:rPr>
          <w:lang w:val="en-AU"/>
        </w:rPr>
        <w:noBreakHyphen/>
        <w:t xml:space="preserve">run quarantine facility or private residence, </w:t>
      </w:r>
      <w:r w:rsidR="005E275B">
        <w:rPr>
          <w:lang w:val="en-AU"/>
        </w:rPr>
        <w:t>the prescriber</w:t>
      </w:r>
      <w:r w:rsidR="00B74860">
        <w:rPr>
          <w:lang w:val="en-AU"/>
        </w:rPr>
        <w:t xml:space="preserve"> </w:t>
      </w:r>
      <w:r w:rsidR="001D41C9">
        <w:rPr>
          <w:lang w:val="en-AU"/>
        </w:rPr>
        <w:t xml:space="preserve">will collaborate with the </w:t>
      </w:r>
      <w:r w:rsidR="00B74860">
        <w:rPr>
          <w:lang w:val="en-AU"/>
        </w:rPr>
        <w:t>dispensing agent</w:t>
      </w:r>
      <w:r w:rsidR="005E275B">
        <w:rPr>
          <w:lang w:val="en-AU"/>
        </w:rPr>
        <w:t xml:space="preserve"> to execute </w:t>
      </w:r>
      <w:r w:rsidR="00FC54CF">
        <w:rPr>
          <w:lang w:val="en-AU"/>
        </w:rPr>
        <w:t xml:space="preserve">variation of </w:t>
      </w:r>
      <w:r w:rsidR="0012141E">
        <w:rPr>
          <w:lang w:val="en-AU"/>
        </w:rPr>
        <w:t>dispensing and delivery</w:t>
      </w:r>
      <w:r w:rsidR="00FC54CF">
        <w:rPr>
          <w:lang w:val="en-AU"/>
        </w:rPr>
        <w:t xml:space="preserve"> for ORT</w:t>
      </w:r>
      <w:r>
        <w:rPr>
          <w:lang w:val="en-AU"/>
        </w:rPr>
        <w:t>.</w:t>
      </w:r>
      <w:r w:rsidR="004E31AB">
        <w:rPr>
          <w:lang w:val="en-AU"/>
        </w:rPr>
        <w:t xml:space="preserve"> </w:t>
      </w:r>
    </w:p>
    <w:p w14:paraId="4CAC57DA" w14:textId="2F2AF88C" w:rsidR="006F5A42" w:rsidRDefault="006F5A42" w:rsidP="006F5A42">
      <w:pPr>
        <w:spacing w:before="60" w:after="60"/>
        <w:rPr>
          <w:lang w:val="en-AU"/>
        </w:rPr>
      </w:pPr>
      <w:r>
        <w:rPr>
          <w:lang w:val="en-AU"/>
        </w:rPr>
        <w:t xml:space="preserve">The authorisation mechanism will be completion of the </w:t>
      </w:r>
      <w:r w:rsidRPr="005557A3">
        <w:rPr>
          <w:i/>
          <w:iCs/>
          <w:lang w:val="en-AU"/>
        </w:rPr>
        <w:t>Delivery of Opioid Replacement Therapy Billing Form</w:t>
      </w:r>
      <w:r>
        <w:rPr>
          <w:lang w:val="en-AU"/>
        </w:rPr>
        <w:t xml:space="preserve"> by the prescriber (available on the DoH website). This will then be sent to the dispensing agent for completion. </w:t>
      </w:r>
    </w:p>
    <w:p w14:paraId="30F6DB90" w14:textId="62D19148" w:rsidR="00883B90" w:rsidRDefault="00883B90" w:rsidP="00F66205">
      <w:pPr>
        <w:rPr>
          <w:lang w:val="en-AU"/>
        </w:rPr>
      </w:pPr>
    </w:p>
    <w:p w14:paraId="277F926F" w14:textId="467D55D9" w:rsidR="00757722" w:rsidRDefault="004E31AB" w:rsidP="007C5B2F">
      <w:pPr>
        <w:pStyle w:val="Heading2"/>
      </w:pPr>
      <w:r w:rsidRPr="007C5B2F">
        <w:lastRenderedPageBreak/>
        <w:t>Delivery of ORT</w:t>
      </w:r>
    </w:p>
    <w:p w14:paraId="515337E1" w14:textId="08BE3EA2" w:rsidR="002B0148" w:rsidRDefault="002B0148" w:rsidP="002B0148">
      <w:r>
        <w:t>Delivery of ORT must follow the process for the relevant setting, as described below</w:t>
      </w:r>
      <w:r w:rsidR="00D07140">
        <w:t xml:space="preserve"> in “Process for ORT delivery”</w:t>
      </w:r>
      <w:r>
        <w:t xml:space="preserve">. </w:t>
      </w:r>
    </w:p>
    <w:p w14:paraId="51FEDBF4" w14:textId="77777777" w:rsidR="006D2F0D" w:rsidRDefault="006D2F0D" w:rsidP="002B0148"/>
    <w:p w14:paraId="4B658CA3" w14:textId="77777777" w:rsidR="002B0148" w:rsidRPr="00B34A86" w:rsidRDefault="002B0148" w:rsidP="002B0148">
      <w:pPr>
        <w:pStyle w:val="Heading2"/>
      </w:pPr>
      <w:r w:rsidRPr="00B34A86">
        <w:t>Review of ORT delivery</w:t>
      </w:r>
    </w:p>
    <w:p w14:paraId="5D75B3A1" w14:textId="77777777" w:rsidR="00690A9C" w:rsidRDefault="002B0148" w:rsidP="002B0148">
      <w:pPr>
        <w:spacing w:before="60" w:after="60"/>
        <w:rPr>
          <w:lang w:val="en-AU"/>
        </w:rPr>
      </w:pPr>
      <w:r>
        <w:rPr>
          <w:lang w:val="en-AU"/>
        </w:rPr>
        <w:t>There is a requirement for the prescriber to review the appropriateness of ORT medication delivery and prescription</w:t>
      </w:r>
      <w:r w:rsidR="00973360">
        <w:rPr>
          <w:lang w:val="en-AU"/>
        </w:rPr>
        <w:t xml:space="preserve"> variation</w:t>
      </w:r>
      <w:r>
        <w:rPr>
          <w:lang w:val="en-AU"/>
        </w:rPr>
        <w:t xml:space="preserve">. This should occur on a </w:t>
      </w:r>
      <w:proofErr w:type="gramStart"/>
      <w:r>
        <w:rPr>
          <w:lang w:val="en-AU"/>
        </w:rPr>
        <w:t>case by case</w:t>
      </w:r>
      <w:proofErr w:type="gramEnd"/>
      <w:r>
        <w:rPr>
          <w:lang w:val="en-AU"/>
        </w:rPr>
        <w:t xml:space="preserve"> basis </w:t>
      </w:r>
      <w:r w:rsidR="00973360">
        <w:rPr>
          <w:lang w:val="en-AU"/>
        </w:rPr>
        <w:t xml:space="preserve">in consultation </w:t>
      </w:r>
      <w:r>
        <w:rPr>
          <w:lang w:val="en-AU"/>
        </w:rPr>
        <w:t>with the prescriber</w:t>
      </w:r>
      <w:r w:rsidR="00973360">
        <w:rPr>
          <w:lang w:val="en-AU"/>
        </w:rPr>
        <w:t xml:space="preserve"> and</w:t>
      </w:r>
      <w:r>
        <w:rPr>
          <w:lang w:val="en-AU"/>
        </w:rPr>
        <w:t xml:space="preserve"> </w:t>
      </w:r>
      <w:r w:rsidR="00973360">
        <w:rPr>
          <w:lang w:val="en-AU"/>
        </w:rPr>
        <w:t xml:space="preserve">patient </w:t>
      </w:r>
      <w:r>
        <w:rPr>
          <w:lang w:val="en-AU"/>
        </w:rPr>
        <w:t xml:space="preserve">receiving ORT, with the understanding that dosing in a pharmacy or health setting is the preferred method of medication administration, and that delivery of ORT outside these settings should be the last option. </w:t>
      </w:r>
      <w:r w:rsidR="00690A9C">
        <w:rPr>
          <w:lang w:val="en-AU"/>
        </w:rPr>
        <w:t xml:space="preserve">These reviews should be communicated to the dispensing agent as soon as practical. </w:t>
      </w:r>
    </w:p>
    <w:p w14:paraId="220F012B" w14:textId="4A9F5466" w:rsidR="002B0148" w:rsidRDefault="002B0148" w:rsidP="002B0148">
      <w:pPr>
        <w:spacing w:before="60" w:after="60"/>
        <w:rPr>
          <w:lang w:val="en-AU"/>
        </w:rPr>
      </w:pPr>
      <w:r>
        <w:rPr>
          <w:lang w:val="en-AU"/>
        </w:rPr>
        <w:t>The following periods are suggested for the review of ORT prescription variation involving delivery of medication:</w:t>
      </w:r>
    </w:p>
    <w:tbl>
      <w:tblPr>
        <w:tblStyle w:val="TableGrid"/>
        <w:tblW w:w="9776" w:type="dxa"/>
        <w:tblLook w:val="04A0" w:firstRow="1" w:lastRow="0" w:firstColumn="1" w:lastColumn="0" w:noHBand="0" w:noVBand="1"/>
      </w:tblPr>
      <w:tblGrid>
        <w:gridCol w:w="6374"/>
        <w:gridCol w:w="3402"/>
      </w:tblGrid>
      <w:tr w:rsidR="002B0148" w14:paraId="1040901E" w14:textId="77777777" w:rsidTr="008D0BED">
        <w:tc>
          <w:tcPr>
            <w:tcW w:w="6374" w:type="dxa"/>
            <w:vAlign w:val="center"/>
          </w:tcPr>
          <w:p w14:paraId="34ACA550" w14:textId="77777777" w:rsidR="002B0148" w:rsidRPr="000F3A28" w:rsidRDefault="002B0148" w:rsidP="00617510">
            <w:pPr>
              <w:spacing w:before="60" w:after="60"/>
              <w:rPr>
                <w:b/>
                <w:bCs/>
                <w:lang w:val="en-AU"/>
              </w:rPr>
            </w:pPr>
            <w:r w:rsidRPr="000F3A28">
              <w:rPr>
                <w:b/>
                <w:bCs/>
                <w:lang w:val="en-AU"/>
              </w:rPr>
              <w:t>Group</w:t>
            </w:r>
          </w:p>
        </w:tc>
        <w:tc>
          <w:tcPr>
            <w:tcW w:w="3402" w:type="dxa"/>
            <w:vAlign w:val="center"/>
          </w:tcPr>
          <w:p w14:paraId="5E4ECDF8" w14:textId="77777777" w:rsidR="002B0148" w:rsidRPr="000F3A28" w:rsidRDefault="002B0148" w:rsidP="00617510">
            <w:pPr>
              <w:spacing w:before="60" w:after="60"/>
              <w:rPr>
                <w:b/>
                <w:bCs/>
                <w:lang w:val="en-AU"/>
              </w:rPr>
            </w:pPr>
            <w:r w:rsidRPr="000F3A28">
              <w:rPr>
                <w:b/>
                <w:bCs/>
                <w:lang w:val="en-AU"/>
              </w:rPr>
              <w:t>Review</w:t>
            </w:r>
          </w:p>
        </w:tc>
      </w:tr>
      <w:tr w:rsidR="002B0148" w14:paraId="7575D547" w14:textId="77777777" w:rsidTr="008D0BED">
        <w:tc>
          <w:tcPr>
            <w:tcW w:w="6374" w:type="dxa"/>
            <w:vAlign w:val="center"/>
          </w:tcPr>
          <w:p w14:paraId="17E58D64" w14:textId="77777777" w:rsidR="002B0148" w:rsidRDefault="002B0148" w:rsidP="00617510">
            <w:pPr>
              <w:spacing w:before="60" w:after="60"/>
              <w:rPr>
                <w:lang w:val="en-AU"/>
              </w:rPr>
            </w:pPr>
            <w:r>
              <w:rPr>
                <w:lang w:val="en-AU"/>
              </w:rPr>
              <w:t>P</w:t>
            </w:r>
            <w:r w:rsidRPr="00640EFF">
              <w:rPr>
                <w:lang w:val="en-AU"/>
              </w:rPr>
              <w:t>eople in State</w:t>
            </w:r>
            <w:r w:rsidRPr="00640EFF">
              <w:rPr>
                <w:lang w:val="en-AU"/>
              </w:rPr>
              <w:noBreakHyphen/>
              <w:t>run quarantine</w:t>
            </w:r>
          </w:p>
          <w:p w14:paraId="5C6DFB89" w14:textId="77777777" w:rsidR="002B0148" w:rsidRDefault="002B0148" w:rsidP="00617510">
            <w:pPr>
              <w:spacing w:before="60" w:after="60"/>
              <w:rPr>
                <w:lang w:val="en-AU"/>
              </w:rPr>
            </w:pPr>
            <w:r>
              <w:rPr>
                <w:lang w:val="en-AU"/>
              </w:rPr>
              <w:t>P</w:t>
            </w:r>
            <w:r w:rsidRPr="00640EFF">
              <w:rPr>
                <w:lang w:val="en-AU"/>
              </w:rPr>
              <w:t xml:space="preserve">eople </w:t>
            </w:r>
            <w:r>
              <w:rPr>
                <w:lang w:val="en-AU"/>
              </w:rPr>
              <w:t xml:space="preserve">returning to Tasmania and </w:t>
            </w:r>
            <w:r w:rsidRPr="00640EFF">
              <w:rPr>
                <w:lang w:val="en-AU"/>
              </w:rPr>
              <w:t>self</w:t>
            </w:r>
            <w:r w:rsidRPr="00640EFF">
              <w:rPr>
                <w:lang w:val="en-AU"/>
              </w:rPr>
              <w:noBreakHyphen/>
              <w:t xml:space="preserve">isolating in </w:t>
            </w:r>
            <w:r>
              <w:rPr>
                <w:lang w:val="en-AU"/>
              </w:rPr>
              <w:t xml:space="preserve">a </w:t>
            </w:r>
            <w:r w:rsidRPr="00640EFF">
              <w:rPr>
                <w:lang w:val="en-AU"/>
              </w:rPr>
              <w:t>private residence</w:t>
            </w:r>
          </w:p>
        </w:tc>
        <w:tc>
          <w:tcPr>
            <w:tcW w:w="3402" w:type="dxa"/>
            <w:vAlign w:val="center"/>
          </w:tcPr>
          <w:p w14:paraId="0257982E" w14:textId="77777777" w:rsidR="002B0148" w:rsidRDefault="002B0148" w:rsidP="00617510">
            <w:pPr>
              <w:spacing w:before="60" w:after="60"/>
              <w:rPr>
                <w:lang w:val="en-AU"/>
              </w:rPr>
            </w:pPr>
            <w:r>
              <w:rPr>
                <w:lang w:val="en-AU"/>
              </w:rPr>
              <w:t>After two weeks</w:t>
            </w:r>
          </w:p>
        </w:tc>
      </w:tr>
      <w:tr w:rsidR="002B0148" w14:paraId="676A727E" w14:textId="77777777" w:rsidTr="008D0BED">
        <w:tc>
          <w:tcPr>
            <w:tcW w:w="6374" w:type="dxa"/>
            <w:vAlign w:val="center"/>
          </w:tcPr>
          <w:p w14:paraId="44840A51" w14:textId="77777777" w:rsidR="002B0148" w:rsidRDefault="002B0148" w:rsidP="00617510">
            <w:pPr>
              <w:spacing w:before="60" w:after="60"/>
              <w:rPr>
                <w:lang w:val="en-AU"/>
              </w:rPr>
            </w:pPr>
            <w:r>
              <w:rPr>
                <w:lang w:val="en-AU"/>
              </w:rPr>
              <w:t>People self</w:t>
            </w:r>
            <w:r>
              <w:rPr>
                <w:lang w:val="en-AU"/>
              </w:rPr>
              <w:noBreakHyphen/>
              <w:t>isolating due to vulnerability to relevant infectious disease</w:t>
            </w:r>
          </w:p>
        </w:tc>
        <w:tc>
          <w:tcPr>
            <w:tcW w:w="3402" w:type="dxa"/>
            <w:vAlign w:val="center"/>
          </w:tcPr>
          <w:p w14:paraId="188CAA35" w14:textId="557F403B" w:rsidR="002B0148" w:rsidRDefault="008D0BED" w:rsidP="00617510">
            <w:pPr>
              <w:spacing w:before="60" w:after="60"/>
              <w:rPr>
                <w:lang w:val="en-AU"/>
              </w:rPr>
            </w:pPr>
            <w:r>
              <w:rPr>
                <w:lang w:val="en-AU"/>
              </w:rPr>
              <w:t>Determined in consultation with relevant treating practitioner for medical vulnerability</w:t>
            </w:r>
          </w:p>
        </w:tc>
      </w:tr>
      <w:tr w:rsidR="002B0148" w14:paraId="7171853C" w14:textId="77777777" w:rsidTr="008D0BED">
        <w:tc>
          <w:tcPr>
            <w:tcW w:w="6374" w:type="dxa"/>
            <w:vAlign w:val="center"/>
          </w:tcPr>
          <w:p w14:paraId="79B7314C" w14:textId="77777777" w:rsidR="002B0148" w:rsidRDefault="002B0148" w:rsidP="00617510">
            <w:pPr>
              <w:spacing w:before="60" w:after="60"/>
              <w:rPr>
                <w:lang w:val="en-AU"/>
              </w:rPr>
            </w:pPr>
            <w:r>
              <w:rPr>
                <w:lang w:val="en-AU"/>
              </w:rPr>
              <w:t>People self</w:t>
            </w:r>
            <w:r>
              <w:rPr>
                <w:lang w:val="en-AU"/>
              </w:rPr>
              <w:noBreakHyphen/>
              <w:t>isolating due to potential exposure or infection</w:t>
            </w:r>
          </w:p>
        </w:tc>
        <w:tc>
          <w:tcPr>
            <w:tcW w:w="3402" w:type="dxa"/>
            <w:vAlign w:val="center"/>
          </w:tcPr>
          <w:p w14:paraId="03EB3589" w14:textId="77777777" w:rsidR="002B0148" w:rsidRDefault="002B0148" w:rsidP="00617510">
            <w:pPr>
              <w:spacing w:before="60" w:after="60"/>
              <w:rPr>
                <w:lang w:val="en-AU"/>
              </w:rPr>
            </w:pPr>
            <w:r>
              <w:rPr>
                <w:lang w:val="en-AU"/>
              </w:rPr>
              <w:t xml:space="preserve">After test results received </w:t>
            </w:r>
          </w:p>
        </w:tc>
      </w:tr>
      <w:tr w:rsidR="002B0148" w14:paraId="1E2E38E8" w14:textId="77777777" w:rsidTr="008D0BED">
        <w:tc>
          <w:tcPr>
            <w:tcW w:w="6374" w:type="dxa"/>
            <w:vAlign w:val="center"/>
          </w:tcPr>
          <w:p w14:paraId="2B113F0B" w14:textId="06CEDAD4" w:rsidR="002B0148" w:rsidRDefault="002B0148" w:rsidP="00617510">
            <w:pPr>
              <w:spacing w:before="60" w:after="60"/>
              <w:rPr>
                <w:lang w:val="en-AU"/>
              </w:rPr>
            </w:pPr>
            <w:r>
              <w:rPr>
                <w:lang w:val="en-AU"/>
              </w:rPr>
              <w:t>People self</w:t>
            </w:r>
            <w:r>
              <w:rPr>
                <w:lang w:val="en-AU"/>
              </w:rPr>
              <w:noBreakHyphen/>
              <w:t xml:space="preserve">isolating due to confirmed </w:t>
            </w:r>
            <w:r w:rsidR="006D2F0D">
              <w:rPr>
                <w:lang w:val="en-AU"/>
              </w:rPr>
              <w:t>diagnosis</w:t>
            </w:r>
          </w:p>
        </w:tc>
        <w:tc>
          <w:tcPr>
            <w:tcW w:w="3402" w:type="dxa"/>
            <w:vAlign w:val="center"/>
          </w:tcPr>
          <w:p w14:paraId="4FAC405E" w14:textId="0DA8F32D" w:rsidR="002B0148" w:rsidRDefault="00CC08AD" w:rsidP="00617510">
            <w:pPr>
              <w:spacing w:before="60" w:after="60"/>
              <w:rPr>
                <w:lang w:val="en-AU"/>
              </w:rPr>
            </w:pPr>
            <w:r>
              <w:rPr>
                <w:lang w:val="en-AU"/>
              </w:rPr>
              <w:t>On a w</w:t>
            </w:r>
            <w:r w:rsidR="002B0148">
              <w:rPr>
                <w:lang w:val="en-AU"/>
              </w:rPr>
              <w:t>eekly basis</w:t>
            </w:r>
            <w:r w:rsidR="0091623B">
              <w:rPr>
                <w:lang w:val="en-AU"/>
              </w:rPr>
              <w:t xml:space="preserve">, considering State and Federal requirements for testing, </w:t>
            </w:r>
            <w:proofErr w:type="gramStart"/>
            <w:r w:rsidR="0091623B">
              <w:rPr>
                <w:lang w:val="en-AU"/>
              </w:rPr>
              <w:t>isolation</w:t>
            </w:r>
            <w:proofErr w:type="gramEnd"/>
            <w:r w:rsidR="0091623B">
              <w:rPr>
                <w:lang w:val="en-AU"/>
              </w:rPr>
              <w:t xml:space="preserve"> and quarantine</w:t>
            </w:r>
          </w:p>
        </w:tc>
      </w:tr>
    </w:tbl>
    <w:p w14:paraId="6E49DF31" w14:textId="77777777" w:rsidR="002B0148" w:rsidRDefault="002B0148" w:rsidP="002B0148">
      <w:pPr>
        <w:spacing w:before="60" w:after="60"/>
        <w:rPr>
          <w:lang w:val="en-AU"/>
        </w:rPr>
      </w:pPr>
    </w:p>
    <w:p w14:paraId="23043C82" w14:textId="60EE6D6A" w:rsidR="002B0148" w:rsidRPr="00640EFF" w:rsidRDefault="002B0148" w:rsidP="002B0148">
      <w:pPr>
        <w:spacing w:before="60" w:after="60"/>
        <w:rPr>
          <w:lang w:val="en-AU"/>
        </w:rPr>
      </w:pPr>
      <w:r>
        <w:rPr>
          <w:lang w:val="en-AU"/>
        </w:rPr>
        <w:t>A</w:t>
      </w:r>
      <w:r w:rsidRPr="00640EFF">
        <w:rPr>
          <w:lang w:val="en-AU"/>
        </w:rPr>
        <w:t xml:space="preserve">ny planning regarding the transition </w:t>
      </w:r>
      <w:r>
        <w:rPr>
          <w:lang w:val="en-AU"/>
        </w:rPr>
        <w:t xml:space="preserve">of a person </w:t>
      </w:r>
      <w:r w:rsidRPr="00640EFF">
        <w:rPr>
          <w:lang w:val="en-AU"/>
        </w:rPr>
        <w:t>from State</w:t>
      </w:r>
      <w:r w:rsidRPr="00640EFF">
        <w:rPr>
          <w:lang w:val="en-AU"/>
        </w:rPr>
        <w:noBreakHyphen/>
        <w:t>run quarantine to the community should consider ORT requirements for the individual</w:t>
      </w:r>
      <w:r>
        <w:rPr>
          <w:lang w:val="en-AU"/>
        </w:rPr>
        <w:t xml:space="preserve"> and any potential implications associated with the sudden cessation of ORT</w:t>
      </w:r>
      <w:r w:rsidRPr="00640EFF">
        <w:rPr>
          <w:lang w:val="en-AU"/>
        </w:rPr>
        <w:t xml:space="preserve">. </w:t>
      </w:r>
    </w:p>
    <w:p w14:paraId="74921BAB" w14:textId="77777777" w:rsidR="002B0148" w:rsidRDefault="002B0148" w:rsidP="002B0148">
      <w:pPr>
        <w:spacing w:before="60" w:after="60"/>
        <w:rPr>
          <w:lang w:val="en-AU"/>
        </w:rPr>
      </w:pPr>
    </w:p>
    <w:p w14:paraId="243C6429" w14:textId="77777777" w:rsidR="002B0148" w:rsidRPr="00B34A86" w:rsidRDefault="002B0148" w:rsidP="002B0148">
      <w:pPr>
        <w:pStyle w:val="Heading2"/>
      </w:pPr>
      <w:r w:rsidRPr="00B34A86">
        <w:t>Billing</w:t>
      </w:r>
    </w:p>
    <w:p w14:paraId="3BDB483F" w14:textId="1C0029C6" w:rsidR="002B0148" w:rsidRDefault="002B0148" w:rsidP="002B0148">
      <w:pPr>
        <w:spacing w:before="60" w:after="60"/>
        <w:rPr>
          <w:lang w:val="en-AU"/>
        </w:rPr>
      </w:pPr>
      <w:r>
        <w:rPr>
          <w:lang w:val="en-AU"/>
        </w:rPr>
        <w:t>At the end of the delivery period, or at the end of each review period, the dispensing</w:t>
      </w:r>
      <w:r w:rsidR="0030171E">
        <w:rPr>
          <w:lang w:val="en-AU"/>
        </w:rPr>
        <w:t xml:space="preserve"> or </w:t>
      </w:r>
      <w:r>
        <w:rPr>
          <w:lang w:val="en-AU"/>
        </w:rPr>
        <w:t xml:space="preserve">delivery agent will send the completed Delivery of Opioid Replacement Therapy Billing Form to the Directorate. </w:t>
      </w:r>
    </w:p>
    <w:p w14:paraId="4D4F5830" w14:textId="7E6C782C" w:rsidR="00CC08AD" w:rsidRDefault="00CC08AD" w:rsidP="002B0148">
      <w:pPr>
        <w:spacing w:before="60" w:after="60"/>
        <w:rPr>
          <w:lang w:val="en-AU"/>
        </w:rPr>
      </w:pPr>
      <w:r>
        <w:rPr>
          <w:lang w:val="en-AU"/>
        </w:rPr>
        <w:t xml:space="preserve">The Directorate will pay a fee per occasion of service, which includes dispensing, </w:t>
      </w:r>
      <w:proofErr w:type="gramStart"/>
      <w:r>
        <w:rPr>
          <w:lang w:val="en-AU"/>
        </w:rPr>
        <w:t>delivering</w:t>
      </w:r>
      <w:proofErr w:type="gramEnd"/>
      <w:r>
        <w:rPr>
          <w:lang w:val="en-AU"/>
        </w:rPr>
        <w:t xml:space="preserve"> and observing dosage of ORT. The Directorate will reimburse transport costs associated with delivery at the Australian Taxation Office motor vehicle expense rate, current as </w:t>
      </w:r>
      <w:proofErr w:type="gramStart"/>
      <w:r>
        <w:rPr>
          <w:lang w:val="en-AU"/>
        </w:rPr>
        <w:t>at</w:t>
      </w:r>
      <w:proofErr w:type="gramEnd"/>
      <w:r>
        <w:rPr>
          <w:lang w:val="en-AU"/>
        </w:rPr>
        <w:t xml:space="preserve"> 1 July 2020. </w:t>
      </w:r>
    </w:p>
    <w:p w14:paraId="3729887F" w14:textId="2A008D36" w:rsidR="00CC08AD" w:rsidRDefault="003A6F60" w:rsidP="00CC08AD">
      <w:pPr>
        <w:spacing w:before="60" w:after="60"/>
        <w:rPr>
          <w:lang w:val="en-AU"/>
        </w:rPr>
      </w:pPr>
      <w:r>
        <w:rPr>
          <w:lang w:val="en-AU"/>
        </w:rPr>
        <w:t>The dispensing agent should contact the Directorate to discuss transport i</w:t>
      </w:r>
      <w:r w:rsidR="00CC08AD">
        <w:rPr>
          <w:lang w:val="en-AU"/>
        </w:rPr>
        <w:t xml:space="preserve">f </w:t>
      </w:r>
      <w:r>
        <w:rPr>
          <w:lang w:val="en-AU"/>
        </w:rPr>
        <w:t xml:space="preserve">the </w:t>
      </w:r>
      <w:r w:rsidR="00CC08AD">
        <w:rPr>
          <w:lang w:val="en-AU"/>
        </w:rPr>
        <w:t xml:space="preserve">total return travel time by the shortest practical route from the dispensing site to the delivery site is greater than one hour. </w:t>
      </w:r>
    </w:p>
    <w:p w14:paraId="3ACFEE77" w14:textId="77777777" w:rsidR="00CC08AD" w:rsidRDefault="00CC08AD" w:rsidP="00CC08AD">
      <w:pPr>
        <w:spacing w:before="60" w:after="60"/>
        <w:rPr>
          <w:lang w:val="en-AU"/>
        </w:rPr>
      </w:pPr>
      <w:r>
        <w:rPr>
          <w:lang w:val="en-AU"/>
        </w:rPr>
        <w:lastRenderedPageBreak/>
        <w:t xml:space="preserve">The dispensing and/or delivery agent will be required to claim any other eligible benefits or reimbursements from the relevant body, </w:t>
      </w:r>
      <w:proofErr w:type="gramStart"/>
      <w:r>
        <w:rPr>
          <w:lang w:val="en-AU"/>
        </w:rPr>
        <w:t>Agency</w:t>
      </w:r>
      <w:proofErr w:type="gramEnd"/>
      <w:r>
        <w:rPr>
          <w:lang w:val="en-AU"/>
        </w:rPr>
        <w:t xml:space="preserve"> or organisation (for example, Pharmaceutical Benefits Scheme). </w:t>
      </w:r>
    </w:p>
    <w:p w14:paraId="55FC145C" w14:textId="77777777" w:rsidR="00CC08AD" w:rsidRDefault="00CC08AD" w:rsidP="00CC08AD">
      <w:r>
        <w:t xml:space="preserve">This must be recorded in the </w:t>
      </w:r>
      <w:r w:rsidRPr="005557A3">
        <w:rPr>
          <w:i/>
          <w:iCs/>
          <w:lang w:val="en-AU"/>
        </w:rPr>
        <w:t>Delivery of Opioid Replacement Therapy Billing Form</w:t>
      </w:r>
      <w:r w:rsidRPr="00C51E2F">
        <w:rPr>
          <w:lang w:val="en-AU"/>
        </w:rPr>
        <w:t>,</w:t>
      </w:r>
      <w:r>
        <w:t xml:space="preserve"> and submitted to the Directorate, with proof of authorisation from the prescribing agent. </w:t>
      </w:r>
    </w:p>
    <w:tbl>
      <w:tblPr>
        <w:tblStyle w:val="TableGrid"/>
        <w:tblW w:w="0" w:type="auto"/>
        <w:tblLook w:val="04A0" w:firstRow="1" w:lastRow="0" w:firstColumn="1" w:lastColumn="0" w:noHBand="0" w:noVBand="1"/>
      </w:tblPr>
      <w:tblGrid>
        <w:gridCol w:w="3005"/>
        <w:gridCol w:w="3005"/>
        <w:gridCol w:w="3006"/>
      </w:tblGrid>
      <w:tr w:rsidR="00CC08AD" w14:paraId="6C7718FE" w14:textId="77777777" w:rsidTr="00CC08AD">
        <w:tc>
          <w:tcPr>
            <w:tcW w:w="3005" w:type="dxa"/>
          </w:tcPr>
          <w:p w14:paraId="3188F484" w14:textId="0692B211" w:rsidR="00CC08AD" w:rsidRDefault="00CC08AD" w:rsidP="00CC08AD">
            <w:pPr>
              <w:spacing w:before="60" w:after="60"/>
              <w:rPr>
                <w:lang w:val="en-AU"/>
              </w:rPr>
            </w:pPr>
            <w:r>
              <w:rPr>
                <w:lang w:val="en-AU"/>
              </w:rPr>
              <w:t>Delivery setting</w:t>
            </w:r>
          </w:p>
        </w:tc>
        <w:tc>
          <w:tcPr>
            <w:tcW w:w="3005" w:type="dxa"/>
          </w:tcPr>
          <w:p w14:paraId="6E192E0A" w14:textId="7A91DF9A" w:rsidR="00CC08AD" w:rsidRDefault="00CC08AD" w:rsidP="00CC08AD">
            <w:pPr>
              <w:spacing w:before="60" w:after="60"/>
              <w:rPr>
                <w:lang w:val="en-AU"/>
              </w:rPr>
            </w:pPr>
            <w:r>
              <w:rPr>
                <w:lang w:val="en-AU"/>
              </w:rPr>
              <w:t>Fee for service</w:t>
            </w:r>
          </w:p>
        </w:tc>
        <w:tc>
          <w:tcPr>
            <w:tcW w:w="3006" w:type="dxa"/>
          </w:tcPr>
          <w:p w14:paraId="5708176A" w14:textId="6B1F7F72" w:rsidR="00CC08AD" w:rsidRDefault="00CC08AD" w:rsidP="00CC08AD">
            <w:pPr>
              <w:spacing w:before="60" w:after="60"/>
              <w:rPr>
                <w:lang w:val="en-AU"/>
              </w:rPr>
            </w:pPr>
            <w:r>
              <w:rPr>
                <w:lang w:val="en-AU"/>
              </w:rPr>
              <w:t>Transport reimbursement</w:t>
            </w:r>
          </w:p>
        </w:tc>
      </w:tr>
      <w:tr w:rsidR="00CC08AD" w14:paraId="1965AF7B" w14:textId="77777777" w:rsidTr="00CC08AD">
        <w:tc>
          <w:tcPr>
            <w:tcW w:w="3005" w:type="dxa"/>
          </w:tcPr>
          <w:p w14:paraId="3006C029" w14:textId="619DDB98" w:rsidR="00CC08AD" w:rsidRDefault="00CC08AD" w:rsidP="00CC08AD">
            <w:pPr>
              <w:spacing w:before="60" w:after="60"/>
              <w:rPr>
                <w:lang w:val="en-AU"/>
              </w:rPr>
            </w:pPr>
            <w:r>
              <w:rPr>
                <w:lang w:val="en-AU"/>
              </w:rPr>
              <w:t>State</w:t>
            </w:r>
            <w:r>
              <w:rPr>
                <w:lang w:val="en-AU"/>
              </w:rPr>
              <w:noBreakHyphen/>
              <w:t>run quarantine</w:t>
            </w:r>
          </w:p>
        </w:tc>
        <w:tc>
          <w:tcPr>
            <w:tcW w:w="3005" w:type="dxa"/>
          </w:tcPr>
          <w:p w14:paraId="0E06B05A" w14:textId="609E7418" w:rsidR="00CC08AD" w:rsidRDefault="00CC08AD" w:rsidP="00CC08AD">
            <w:pPr>
              <w:spacing w:before="60" w:after="60"/>
              <w:rPr>
                <w:lang w:val="en-AU"/>
              </w:rPr>
            </w:pPr>
            <w:r>
              <w:rPr>
                <w:lang w:val="en-AU"/>
              </w:rPr>
              <w:t>$50</w:t>
            </w:r>
          </w:p>
        </w:tc>
        <w:tc>
          <w:tcPr>
            <w:tcW w:w="3006" w:type="dxa"/>
          </w:tcPr>
          <w:p w14:paraId="31A81CCD" w14:textId="3EE4FDDD" w:rsidR="00CC08AD" w:rsidRDefault="00CC08AD" w:rsidP="00CC08AD">
            <w:pPr>
              <w:spacing w:before="60" w:after="60"/>
              <w:rPr>
                <w:lang w:val="en-AU"/>
              </w:rPr>
            </w:pPr>
            <w:r>
              <w:rPr>
                <w:lang w:val="en-AU"/>
              </w:rPr>
              <w:t>72 c / km</w:t>
            </w:r>
          </w:p>
        </w:tc>
      </w:tr>
      <w:tr w:rsidR="00CC08AD" w14:paraId="2A7B97BB" w14:textId="77777777" w:rsidTr="00CC08AD">
        <w:tc>
          <w:tcPr>
            <w:tcW w:w="3005" w:type="dxa"/>
          </w:tcPr>
          <w:p w14:paraId="5E5034E0" w14:textId="77B6DA9B" w:rsidR="00CC08AD" w:rsidRDefault="00CC08AD" w:rsidP="00CC08AD">
            <w:pPr>
              <w:spacing w:before="60" w:after="60"/>
              <w:rPr>
                <w:lang w:val="en-AU"/>
              </w:rPr>
            </w:pPr>
            <w:r>
              <w:rPr>
                <w:lang w:val="en-AU"/>
              </w:rPr>
              <w:t>Private residence</w:t>
            </w:r>
          </w:p>
        </w:tc>
        <w:tc>
          <w:tcPr>
            <w:tcW w:w="3005" w:type="dxa"/>
          </w:tcPr>
          <w:p w14:paraId="46094F70" w14:textId="48F7B6BE" w:rsidR="00CC08AD" w:rsidRDefault="00CC08AD" w:rsidP="00CC08AD">
            <w:pPr>
              <w:spacing w:before="60" w:after="60"/>
              <w:rPr>
                <w:lang w:val="en-AU"/>
              </w:rPr>
            </w:pPr>
            <w:r>
              <w:rPr>
                <w:lang w:val="en-AU"/>
              </w:rPr>
              <w:t>$75</w:t>
            </w:r>
          </w:p>
        </w:tc>
        <w:tc>
          <w:tcPr>
            <w:tcW w:w="3006" w:type="dxa"/>
          </w:tcPr>
          <w:p w14:paraId="6E396243" w14:textId="78497E4C" w:rsidR="00CC08AD" w:rsidRDefault="00CC08AD" w:rsidP="00CC08AD">
            <w:pPr>
              <w:spacing w:before="60" w:after="60"/>
              <w:rPr>
                <w:lang w:val="en-AU"/>
              </w:rPr>
            </w:pPr>
            <w:r>
              <w:rPr>
                <w:lang w:val="en-AU"/>
              </w:rPr>
              <w:t>72 c / km</w:t>
            </w:r>
          </w:p>
        </w:tc>
      </w:tr>
    </w:tbl>
    <w:p w14:paraId="38A44E81" w14:textId="05759250" w:rsidR="002B0148" w:rsidRDefault="002B0148" w:rsidP="002B0148"/>
    <w:p w14:paraId="0A7AC927" w14:textId="25489B24" w:rsidR="00D07140" w:rsidRPr="002B0148" w:rsidRDefault="00D07140" w:rsidP="00D07140">
      <w:pPr>
        <w:pStyle w:val="Heading2"/>
      </w:pPr>
      <w:r>
        <w:t>Process for ORT delivery</w:t>
      </w:r>
    </w:p>
    <w:p w14:paraId="1D9709C2" w14:textId="6343EC9C" w:rsidR="00C65ADD" w:rsidRPr="00294B64" w:rsidRDefault="00B06AEE" w:rsidP="00294B64">
      <w:pPr>
        <w:pStyle w:val="Heading3"/>
      </w:pPr>
      <w:r w:rsidRPr="00294B64">
        <w:t xml:space="preserve">Delivery to </w:t>
      </w:r>
      <w:r w:rsidR="004E31AB" w:rsidRPr="00294B64">
        <w:t>State-run quarantine</w:t>
      </w:r>
      <w:r w:rsidRPr="00294B64">
        <w:t xml:space="preserve"> </w:t>
      </w:r>
      <w:r w:rsidR="00294B64">
        <w:t>facility</w:t>
      </w:r>
    </w:p>
    <w:p w14:paraId="40CCE68F" w14:textId="0717DE5A" w:rsidR="00041B0E" w:rsidRDefault="00041B0E" w:rsidP="007C5B2F">
      <w:pPr>
        <w:pStyle w:val="ListParagraph"/>
        <w:numPr>
          <w:ilvl w:val="0"/>
          <w:numId w:val="10"/>
        </w:numPr>
        <w:spacing w:before="60" w:after="60"/>
        <w:ind w:hanging="357"/>
        <w:contextualSpacing w:val="0"/>
        <w:rPr>
          <w:lang w:val="en-AU"/>
        </w:rPr>
      </w:pPr>
      <w:r>
        <w:rPr>
          <w:lang w:val="en-AU"/>
        </w:rPr>
        <w:t>The prescriber will approve delivery to the state-run quarantine centre</w:t>
      </w:r>
      <w:r w:rsidR="007372CC">
        <w:rPr>
          <w:lang w:val="en-AU"/>
        </w:rPr>
        <w:t>, following the process described above</w:t>
      </w:r>
      <w:r>
        <w:rPr>
          <w:lang w:val="en-AU"/>
        </w:rPr>
        <w:t xml:space="preserve">.  In the instance of unplanned interstate transfers, the Clinical Director ADS (or delegate) will assess the need for and capacity to provide service.   </w:t>
      </w:r>
    </w:p>
    <w:p w14:paraId="183F2776" w14:textId="147AA9B3" w:rsidR="002C7BA5" w:rsidRDefault="00AA0884" w:rsidP="007C5B2F">
      <w:pPr>
        <w:pStyle w:val="ListParagraph"/>
        <w:numPr>
          <w:ilvl w:val="0"/>
          <w:numId w:val="10"/>
        </w:numPr>
        <w:spacing w:before="60" w:after="60"/>
        <w:ind w:hanging="357"/>
        <w:contextualSpacing w:val="0"/>
        <w:rPr>
          <w:lang w:val="en-AU"/>
        </w:rPr>
      </w:pPr>
      <w:r w:rsidRPr="002C7BA5">
        <w:rPr>
          <w:lang w:val="en-AU"/>
        </w:rPr>
        <w:t xml:space="preserve">The </w:t>
      </w:r>
      <w:r w:rsidR="00DB3F4C" w:rsidRPr="002C7BA5">
        <w:rPr>
          <w:lang w:val="en-AU"/>
        </w:rPr>
        <w:t xml:space="preserve">dispensing agent will dispense the medication in accordance with </w:t>
      </w:r>
      <w:r w:rsidR="00C65ADD">
        <w:rPr>
          <w:lang w:val="en-AU"/>
        </w:rPr>
        <w:t xml:space="preserve">any </w:t>
      </w:r>
      <w:r w:rsidR="00DB3F4C" w:rsidRPr="002C7BA5">
        <w:rPr>
          <w:lang w:val="en-AU"/>
        </w:rPr>
        <w:t xml:space="preserve">relevant legislation, </w:t>
      </w:r>
      <w:proofErr w:type="gramStart"/>
      <w:r w:rsidR="00DB3F4C" w:rsidRPr="002C7BA5">
        <w:rPr>
          <w:lang w:val="en-AU"/>
        </w:rPr>
        <w:t>regulations</w:t>
      </w:r>
      <w:proofErr w:type="gramEnd"/>
      <w:r w:rsidR="00DB3F4C" w:rsidRPr="002C7BA5">
        <w:rPr>
          <w:lang w:val="en-AU"/>
        </w:rPr>
        <w:t xml:space="preserve"> and policy</w:t>
      </w:r>
      <w:r w:rsidR="00883B90">
        <w:rPr>
          <w:lang w:val="en-AU"/>
        </w:rPr>
        <w:t xml:space="preserve">. </w:t>
      </w:r>
    </w:p>
    <w:p w14:paraId="1206E710" w14:textId="6B3725C3" w:rsidR="00B30AFC" w:rsidRDefault="005D0E91" w:rsidP="00B30AFC">
      <w:pPr>
        <w:pStyle w:val="ListParagraph"/>
        <w:numPr>
          <w:ilvl w:val="0"/>
          <w:numId w:val="10"/>
        </w:numPr>
        <w:spacing w:before="60" w:after="60"/>
        <w:ind w:hanging="357"/>
        <w:contextualSpacing w:val="0"/>
        <w:rPr>
          <w:lang w:val="en-AU"/>
        </w:rPr>
      </w:pPr>
      <w:r w:rsidRPr="002C7BA5">
        <w:rPr>
          <w:lang w:val="en-AU"/>
        </w:rPr>
        <w:t xml:space="preserve">The </w:t>
      </w:r>
      <w:r w:rsidR="00AA0884" w:rsidRPr="002C7BA5">
        <w:rPr>
          <w:lang w:val="en-AU"/>
        </w:rPr>
        <w:t xml:space="preserve">delivery agent will </w:t>
      </w:r>
      <w:r w:rsidR="002C7BA5">
        <w:rPr>
          <w:lang w:val="en-AU"/>
        </w:rPr>
        <w:t>transport the medication to the relevant State</w:t>
      </w:r>
      <w:r w:rsidR="002C7BA5">
        <w:rPr>
          <w:lang w:val="en-AU"/>
        </w:rPr>
        <w:noBreakHyphen/>
        <w:t xml:space="preserve">run quarantine facility, </w:t>
      </w:r>
      <w:r w:rsidR="003E5C8B">
        <w:rPr>
          <w:lang w:val="en-AU"/>
        </w:rPr>
        <w:t xml:space="preserve">using the shortest practical route, and </w:t>
      </w:r>
      <w:r w:rsidRPr="002C7BA5">
        <w:rPr>
          <w:lang w:val="en-AU"/>
        </w:rPr>
        <w:t>ensur</w:t>
      </w:r>
      <w:r w:rsidR="004875CF">
        <w:rPr>
          <w:lang w:val="en-AU"/>
        </w:rPr>
        <w:t>ing</w:t>
      </w:r>
      <w:r w:rsidRPr="002C7BA5">
        <w:rPr>
          <w:lang w:val="en-AU"/>
        </w:rPr>
        <w:t xml:space="preserve"> compliance with </w:t>
      </w:r>
      <w:r w:rsidR="00883B90">
        <w:rPr>
          <w:lang w:val="en-AU"/>
        </w:rPr>
        <w:t xml:space="preserve">any </w:t>
      </w:r>
      <w:r w:rsidRPr="002C7BA5">
        <w:rPr>
          <w:lang w:val="en-AU"/>
        </w:rPr>
        <w:t xml:space="preserve">relevant legislation, </w:t>
      </w:r>
      <w:proofErr w:type="gramStart"/>
      <w:r w:rsidRPr="002C7BA5">
        <w:rPr>
          <w:lang w:val="en-AU"/>
        </w:rPr>
        <w:t>regulations</w:t>
      </w:r>
      <w:proofErr w:type="gramEnd"/>
      <w:r w:rsidRPr="002C7BA5">
        <w:rPr>
          <w:lang w:val="en-AU"/>
        </w:rPr>
        <w:t xml:space="preserve"> and policy</w:t>
      </w:r>
      <w:r w:rsidR="00F704AE">
        <w:rPr>
          <w:lang w:val="en-AU"/>
        </w:rPr>
        <w:t xml:space="preserve">. </w:t>
      </w:r>
      <w:r w:rsidR="00F704AE" w:rsidRPr="0002317E">
        <w:rPr>
          <w:lang w:val="en-AU"/>
        </w:rPr>
        <w:t xml:space="preserve">If the dispensing agent and delivery agent are not the same, the dispensing agent will ensure that the delivery agent is aware of, and </w:t>
      </w:r>
      <w:r w:rsidR="00115DBA" w:rsidRPr="0002317E">
        <w:rPr>
          <w:lang w:val="en-AU"/>
        </w:rPr>
        <w:t xml:space="preserve">equipped to comply with, relevant legislation, </w:t>
      </w:r>
      <w:proofErr w:type="gramStart"/>
      <w:r w:rsidR="00115DBA" w:rsidRPr="0002317E">
        <w:rPr>
          <w:lang w:val="en-AU"/>
        </w:rPr>
        <w:t>regulations</w:t>
      </w:r>
      <w:proofErr w:type="gramEnd"/>
      <w:r w:rsidR="00115DBA" w:rsidRPr="0002317E">
        <w:rPr>
          <w:lang w:val="en-AU"/>
        </w:rPr>
        <w:t xml:space="preserve"> and policy. </w:t>
      </w:r>
    </w:p>
    <w:p w14:paraId="006833B6" w14:textId="72FE1164" w:rsidR="00B30AFC" w:rsidRPr="00B30AFC" w:rsidRDefault="00B30AFC" w:rsidP="00B30AFC">
      <w:pPr>
        <w:pStyle w:val="ListParagraph"/>
        <w:spacing w:before="60" w:after="60"/>
        <w:contextualSpacing w:val="0"/>
        <w:rPr>
          <w:lang w:val="en-AU"/>
        </w:rPr>
      </w:pPr>
      <w:r>
        <w:rPr>
          <w:b/>
          <w:bCs/>
          <w:lang w:val="en-AU"/>
        </w:rPr>
        <w:t xml:space="preserve">NB </w:t>
      </w:r>
      <w:r>
        <w:rPr>
          <w:lang w:val="en-AU"/>
        </w:rPr>
        <w:t>– only one person is required for ORT delivery to State</w:t>
      </w:r>
      <w:r>
        <w:rPr>
          <w:lang w:val="en-AU"/>
        </w:rPr>
        <w:noBreakHyphen/>
        <w:t xml:space="preserve">run quarantine. </w:t>
      </w:r>
    </w:p>
    <w:p w14:paraId="5E8E0FE9" w14:textId="6820CAAF" w:rsidR="00C65ADD" w:rsidRPr="00C65ADD" w:rsidRDefault="00C65ADD" w:rsidP="007C5B2F">
      <w:pPr>
        <w:pStyle w:val="ListParagraph"/>
        <w:numPr>
          <w:ilvl w:val="0"/>
          <w:numId w:val="10"/>
        </w:numPr>
        <w:spacing w:before="60" w:after="60"/>
        <w:ind w:hanging="357"/>
        <w:contextualSpacing w:val="0"/>
        <w:rPr>
          <w:lang w:val="en-AU"/>
        </w:rPr>
      </w:pPr>
      <w:r>
        <w:rPr>
          <w:lang w:val="en-AU"/>
        </w:rPr>
        <w:t xml:space="preserve">The delivery agent and </w:t>
      </w:r>
      <w:r w:rsidR="00780598">
        <w:rPr>
          <w:lang w:val="en-AU"/>
        </w:rPr>
        <w:t xml:space="preserve">the </w:t>
      </w:r>
      <w:r>
        <w:rPr>
          <w:lang w:val="en-AU"/>
        </w:rPr>
        <w:t xml:space="preserve">person receiving </w:t>
      </w:r>
      <w:r w:rsidR="003A3E30">
        <w:rPr>
          <w:lang w:val="en-AU"/>
        </w:rPr>
        <w:t xml:space="preserve">ORT </w:t>
      </w:r>
      <w:r>
        <w:rPr>
          <w:lang w:val="en-AU"/>
        </w:rPr>
        <w:t xml:space="preserve">must follow any measures to reduce risk of infection that are required or recommended by the </w:t>
      </w:r>
      <w:r w:rsidR="00B816ED">
        <w:rPr>
          <w:lang w:val="en-AU"/>
        </w:rPr>
        <w:t xml:space="preserve">Australian or </w:t>
      </w:r>
      <w:r>
        <w:rPr>
          <w:lang w:val="en-AU"/>
        </w:rPr>
        <w:t>State Government and the State</w:t>
      </w:r>
      <w:r>
        <w:rPr>
          <w:lang w:val="en-AU"/>
        </w:rPr>
        <w:noBreakHyphen/>
        <w:t xml:space="preserve">run quarantine facility, such as physical distancing, personal hygiene, and where relevant, PPE. </w:t>
      </w:r>
    </w:p>
    <w:p w14:paraId="54FB6371" w14:textId="0592F060" w:rsidR="00883B90" w:rsidRDefault="00883B90" w:rsidP="007C5B2F">
      <w:pPr>
        <w:pStyle w:val="ListParagraph"/>
        <w:numPr>
          <w:ilvl w:val="0"/>
          <w:numId w:val="10"/>
        </w:numPr>
        <w:spacing w:before="60" w:after="60"/>
        <w:ind w:hanging="357"/>
        <w:contextualSpacing w:val="0"/>
        <w:rPr>
          <w:lang w:val="en-AU"/>
        </w:rPr>
      </w:pPr>
      <w:r>
        <w:rPr>
          <w:lang w:val="en-AU"/>
        </w:rPr>
        <w:t xml:space="preserve">The delivery agent </w:t>
      </w:r>
      <w:r w:rsidR="00C65ADD">
        <w:rPr>
          <w:lang w:val="en-AU"/>
        </w:rPr>
        <w:t xml:space="preserve">must </w:t>
      </w:r>
      <w:r>
        <w:rPr>
          <w:lang w:val="en-AU"/>
        </w:rPr>
        <w:t xml:space="preserve">transfer possession </w:t>
      </w:r>
      <w:r w:rsidR="00C65ADD">
        <w:rPr>
          <w:lang w:val="en-AU"/>
        </w:rPr>
        <w:t xml:space="preserve">of </w:t>
      </w:r>
      <w:r w:rsidR="00244FB1">
        <w:rPr>
          <w:lang w:val="en-AU"/>
        </w:rPr>
        <w:t xml:space="preserve">the </w:t>
      </w:r>
      <w:r w:rsidR="00C65ADD">
        <w:rPr>
          <w:lang w:val="en-AU"/>
        </w:rPr>
        <w:t xml:space="preserve">ORT </w:t>
      </w:r>
      <w:r w:rsidR="00244FB1">
        <w:rPr>
          <w:lang w:val="en-AU"/>
        </w:rPr>
        <w:t xml:space="preserve">directly </w:t>
      </w:r>
      <w:r>
        <w:rPr>
          <w:lang w:val="en-AU"/>
        </w:rPr>
        <w:t>to the</w:t>
      </w:r>
      <w:r w:rsidR="003A3E30">
        <w:rPr>
          <w:lang w:val="en-AU"/>
        </w:rPr>
        <w:t xml:space="preserve"> medication recipient</w:t>
      </w:r>
      <w:r w:rsidR="00C65ADD">
        <w:rPr>
          <w:lang w:val="en-AU"/>
        </w:rPr>
        <w:t>. The delivery agent</w:t>
      </w:r>
      <w:r>
        <w:rPr>
          <w:lang w:val="en-AU"/>
        </w:rPr>
        <w:t xml:space="preserve"> </w:t>
      </w:r>
      <w:r w:rsidR="00DA00CE">
        <w:rPr>
          <w:lang w:val="en-AU"/>
        </w:rPr>
        <w:t xml:space="preserve">must </w:t>
      </w:r>
      <w:r>
        <w:rPr>
          <w:lang w:val="en-AU"/>
        </w:rPr>
        <w:t xml:space="preserve">not </w:t>
      </w:r>
      <w:r w:rsidR="00C65ADD">
        <w:rPr>
          <w:lang w:val="en-AU"/>
        </w:rPr>
        <w:t xml:space="preserve">transfer possession of ORT </w:t>
      </w:r>
      <w:r w:rsidR="00DA00CE">
        <w:rPr>
          <w:lang w:val="en-AU"/>
        </w:rPr>
        <w:t xml:space="preserve">to </w:t>
      </w:r>
      <w:r w:rsidR="003A3E30">
        <w:rPr>
          <w:lang w:val="en-AU"/>
        </w:rPr>
        <w:t>the recipient</w:t>
      </w:r>
      <w:r w:rsidR="00DA00CE">
        <w:rPr>
          <w:lang w:val="en-AU"/>
        </w:rPr>
        <w:t xml:space="preserve"> </w:t>
      </w:r>
      <w:r>
        <w:rPr>
          <w:lang w:val="en-AU"/>
        </w:rPr>
        <w:t xml:space="preserve">through other </w:t>
      </w:r>
      <w:r w:rsidR="00DA00CE">
        <w:rPr>
          <w:lang w:val="en-AU"/>
        </w:rPr>
        <w:t xml:space="preserve">agents, </w:t>
      </w:r>
      <w:r>
        <w:rPr>
          <w:lang w:val="en-AU"/>
        </w:rPr>
        <w:t>stand ins</w:t>
      </w:r>
      <w:r w:rsidR="00DA00CE">
        <w:rPr>
          <w:lang w:val="en-AU"/>
        </w:rPr>
        <w:t xml:space="preserve"> or</w:t>
      </w:r>
      <w:r>
        <w:rPr>
          <w:lang w:val="en-AU"/>
        </w:rPr>
        <w:t xml:space="preserve"> intermediarie</w:t>
      </w:r>
      <w:r w:rsidR="00DA00CE">
        <w:rPr>
          <w:lang w:val="en-AU"/>
        </w:rPr>
        <w:t>s</w:t>
      </w:r>
      <w:r>
        <w:rPr>
          <w:lang w:val="en-AU"/>
        </w:rPr>
        <w:t xml:space="preserve">. </w:t>
      </w:r>
    </w:p>
    <w:p w14:paraId="6A84616C" w14:textId="106DD1F6" w:rsidR="00E57394" w:rsidRPr="00E57394" w:rsidRDefault="00C65ADD" w:rsidP="00E57394">
      <w:pPr>
        <w:pStyle w:val="ListParagraph"/>
        <w:numPr>
          <w:ilvl w:val="0"/>
          <w:numId w:val="10"/>
        </w:numPr>
        <w:spacing w:before="60" w:after="60"/>
        <w:ind w:hanging="357"/>
        <w:contextualSpacing w:val="0"/>
        <w:rPr>
          <w:lang w:val="en-AU"/>
        </w:rPr>
      </w:pPr>
      <w:r w:rsidRPr="0002317E">
        <w:rPr>
          <w:lang w:val="en-AU"/>
        </w:rPr>
        <w:t>Prior to transfer of possession, t</w:t>
      </w:r>
      <w:r w:rsidR="002C7BA5" w:rsidRPr="0002317E">
        <w:rPr>
          <w:lang w:val="en-AU"/>
        </w:rPr>
        <w:t xml:space="preserve">he delivery agent </w:t>
      </w:r>
      <w:r w:rsidRPr="0002317E">
        <w:rPr>
          <w:lang w:val="en-AU"/>
        </w:rPr>
        <w:t xml:space="preserve">must </w:t>
      </w:r>
      <w:r w:rsidR="004875CF" w:rsidRPr="0002317E">
        <w:rPr>
          <w:lang w:val="en-AU"/>
        </w:rPr>
        <w:t xml:space="preserve">sight photo identification of the </w:t>
      </w:r>
      <w:r w:rsidR="00133F18">
        <w:rPr>
          <w:lang w:val="en-AU"/>
        </w:rPr>
        <w:t>person</w:t>
      </w:r>
      <w:r w:rsidR="004875CF" w:rsidRPr="0002317E">
        <w:rPr>
          <w:lang w:val="en-AU"/>
        </w:rPr>
        <w:t xml:space="preserve"> receiving the medication</w:t>
      </w:r>
      <w:r w:rsidR="00DA00CE" w:rsidRPr="0002317E">
        <w:rPr>
          <w:lang w:val="en-AU"/>
        </w:rPr>
        <w:t xml:space="preserve">. </w:t>
      </w:r>
      <w:r w:rsidRPr="0002317E">
        <w:rPr>
          <w:lang w:val="en-AU"/>
        </w:rPr>
        <w:t>The identification must match the details provided by the</w:t>
      </w:r>
      <w:r w:rsidR="00BA4159">
        <w:rPr>
          <w:lang w:val="en-AU"/>
        </w:rPr>
        <w:t xml:space="preserve"> prescriber</w:t>
      </w:r>
      <w:r w:rsidRPr="0002317E">
        <w:rPr>
          <w:lang w:val="en-AU"/>
        </w:rPr>
        <w:t xml:space="preserve">. </w:t>
      </w:r>
      <w:r w:rsidR="00883B90" w:rsidRPr="0002317E">
        <w:rPr>
          <w:lang w:val="en-AU"/>
        </w:rPr>
        <w:t xml:space="preserve">If the person receiving </w:t>
      </w:r>
      <w:r w:rsidR="003A3E30">
        <w:rPr>
          <w:lang w:val="en-AU"/>
        </w:rPr>
        <w:t>ORT</w:t>
      </w:r>
      <w:r w:rsidR="00883B90" w:rsidRPr="0002317E">
        <w:rPr>
          <w:lang w:val="en-AU"/>
        </w:rPr>
        <w:t xml:space="preserve"> cannot produce photo identification, </w:t>
      </w:r>
      <w:r w:rsidRPr="0002317E">
        <w:rPr>
          <w:lang w:val="en-AU"/>
        </w:rPr>
        <w:t xml:space="preserve">the delivery agent must sight multiple forms of identification, to ensure they are satisfied that it is the intended recipient. </w:t>
      </w:r>
    </w:p>
    <w:p w14:paraId="488DF09C" w14:textId="4B8FE4FB" w:rsidR="009D12FD" w:rsidRDefault="007F2DC6" w:rsidP="007C5B2F">
      <w:pPr>
        <w:pStyle w:val="ListParagraph"/>
        <w:numPr>
          <w:ilvl w:val="0"/>
          <w:numId w:val="10"/>
        </w:numPr>
        <w:spacing w:before="60" w:after="60"/>
        <w:ind w:hanging="357"/>
        <w:contextualSpacing w:val="0"/>
        <w:rPr>
          <w:lang w:val="en-AU"/>
        </w:rPr>
      </w:pPr>
      <w:r>
        <w:rPr>
          <w:lang w:val="en-AU"/>
        </w:rPr>
        <w:t>The delivery agent will observe the dose as follows:</w:t>
      </w:r>
    </w:p>
    <w:p w14:paraId="197B5E39" w14:textId="4A5B273D" w:rsidR="00321E9A" w:rsidRPr="008E2591" w:rsidRDefault="00321E9A" w:rsidP="00321E9A">
      <w:pPr>
        <w:pStyle w:val="NoSpacing"/>
        <w:numPr>
          <w:ilvl w:val="1"/>
          <w:numId w:val="10"/>
        </w:numPr>
        <w:spacing w:before="60" w:after="60" w:line="276" w:lineRule="auto"/>
        <w:rPr>
          <w:rFonts w:ascii="Gill Sans MT" w:hAnsi="Gill Sans MT"/>
        </w:rPr>
      </w:pPr>
      <w:r w:rsidRPr="00120D9F">
        <w:rPr>
          <w:rFonts w:ascii="Gill Sans MT" w:hAnsi="Gill Sans MT"/>
          <w:u w:val="single"/>
        </w:rPr>
        <w:t>Subutex / Suboxone:</w:t>
      </w:r>
      <w:r w:rsidRPr="00120D9F">
        <w:rPr>
          <w:rFonts w:ascii="Gill Sans MT" w:hAnsi="Gill Sans MT"/>
        </w:rPr>
        <w:t xml:space="preserve"> </w:t>
      </w:r>
      <w:r>
        <w:rPr>
          <w:rFonts w:ascii="Gill Sans MT" w:hAnsi="Gill Sans MT"/>
        </w:rPr>
        <w:t>Delivery agent</w:t>
      </w:r>
      <w:r w:rsidRPr="00120D9F">
        <w:rPr>
          <w:rFonts w:ascii="Gill Sans MT" w:hAnsi="Gill Sans MT"/>
        </w:rPr>
        <w:t xml:space="preserve"> to observe </w:t>
      </w:r>
      <w:r>
        <w:rPr>
          <w:rFonts w:ascii="Gill Sans MT" w:hAnsi="Gill Sans MT"/>
        </w:rPr>
        <w:t>ORT recipient</w:t>
      </w:r>
      <w:r w:rsidRPr="00120D9F">
        <w:rPr>
          <w:rFonts w:ascii="Gill Sans MT" w:hAnsi="Gill Sans MT"/>
        </w:rPr>
        <w:t xml:space="preserve"> place </w:t>
      </w:r>
      <w:r>
        <w:rPr>
          <w:rFonts w:ascii="Gill Sans MT" w:hAnsi="Gill Sans MT"/>
        </w:rPr>
        <w:t xml:space="preserve">dose in </w:t>
      </w:r>
      <w:r w:rsidRPr="00120D9F">
        <w:rPr>
          <w:rFonts w:ascii="Gill Sans MT" w:hAnsi="Gill Sans MT"/>
        </w:rPr>
        <w:t>their mouth (no close checking of mouth)</w:t>
      </w:r>
      <w:r>
        <w:rPr>
          <w:rFonts w:ascii="Gill Sans MT" w:hAnsi="Gill Sans MT"/>
        </w:rPr>
        <w:t xml:space="preserve">.  Any takeaway doses must be taken inside by the </w:t>
      </w:r>
      <w:r w:rsidR="00715D0D">
        <w:rPr>
          <w:rFonts w:ascii="Gill Sans MT" w:hAnsi="Gill Sans MT"/>
        </w:rPr>
        <w:t>ORT recipient</w:t>
      </w:r>
      <w:r>
        <w:rPr>
          <w:rFonts w:ascii="Gill Sans MT" w:hAnsi="Gill Sans MT"/>
        </w:rPr>
        <w:t>.</w:t>
      </w:r>
    </w:p>
    <w:p w14:paraId="2CDA5EA4" w14:textId="77777777" w:rsidR="00321E9A" w:rsidRDefault="00321E9A" w:rsidP="00321E9A">
      <w:pPr>
        <w:pStyle w:val="NoSpacing"/>
        <w:numPr>
          <w:ilvl w:val="1"/>
          <w:numId w:val="10"/>
        </w:numPr>
        <w:spacing w:before="60" w:after="60" w:line="276" w:lineRule="auto"/>
        <w:rPr>
          <w:rFonts w:ascii="Gill Sans MT" w:hAnsi="Gill Sans MT"/>
        </w:rPr>
      </w:pPr>
      <w:r w:rsidRPr="00120D9F">
        <w:rPr>
          <w:rFonts w:ascii="Gill Sans MT" w:hAnsi="Gill Sans MT"/>
          <w:u w:val="single"/>
        </w:rPr>
        <w:t>Methadone:</w:t>
      </w:r>
      <w:r w:rsidRPr="00120D9F">
        <w:rPr>
          <w:rFonts w:ascii="Gill Sans MT" w:hAnsi="Gill Sans MT"/>
        </w:rPr>
        <w:t xml:space="preserve"> </w:t>
      </w:r>
      <w:r>
        <w:rPr>
          <w:rFonts w:ascii="Gill Sans MT" w:hAnsi="Gill Sans MT"/>
        </w:rPr>
        <w:t>Delivery agent</w:t>
      </w:r>
      <w:r w:rsidRPr="00120D9F">
        <w:rPr>
          <w:rFonts w:ascii="Gill Sans MT" w:hAnsi="Gill Sans MT"/>
        </w:rPr>
        <w:t xml:space="preserve"> to observe </w:t>
      </w:r>
      <w:r>
        <w:rPr>
          <w:rFonts w:ascii="Gill Sans MT" w:hAnsi="Gill Sans MT"/>
        </w:rPr>
        <w:t>ORT recipient</w:t>
      </w:r>
      <w:r w:rsidRPr="00120D9F">
        <w:rPr>
          <w:rFonts w:ascii="Gill Sans MT" w:hAnsi="Gill Sans MT"/>
        </w:rPr>
        <w:t xml:space="preserve"> swallow dose, </w:t>
      </w:r>
      <w:r>
        <w:rPr>
          <w:rFonts w:ascii="Gill Sans MT" w:hAnsi="Gill Sans MT"/>
        </w:rPr>
        <w:t>and then hold bottle upside down to demonstrate full dose has been taken.  Any takeaway doses must be taken inside by the ORT recipient.</w:t>
      </w:r>
    </w:p>
    <w:p w14:paraId="506D9152" w14:textId="4CF9D8CA" w:rsidR="00321E9A" w:rsidRDefault="00321E9A" w:rsidP="00321E9A">
      <w:pPr>
        <w:pStyle w:val="NoSpacing"/>
        <w:numPr>
          <w:ilvl w:val="1"/>
          <w:numId w:val="10"/>
        </w:numPr>
        <w:spacing w:before="60" w:after="60" w:line="276" w:lineRule="auto"/>
        <w:rPr>
          <w:rFonts w:ascii="Gill Sans MT" w:hAnsi="Gill Sans MT"/>
        </w:rPr>
      </w:pPr>
      <w:r>
        <w:rPr>
          <w:rFonts w:ascii="Gill Sans MT" w:hAnsi="Gill Sans MT"/>
        </w:rPr>
        <w:lastRenderedPageBreak/>
        <w:t xml:space="preserve">If there are any diversions from the above, the delivery agent must record details and notify the dispensing agent as soon as practical. The dispensing agent must notify ADS and prescriber as soon as practical. </w:t>
      </w:r>
    </w:p>
    <w:p w14:paraId="27FE9E58" w14:textId="1B176DD2" w:rsidR="00025044" w:rsidRPr="00AA4D8B" w:rsidRDefault="00025044" w:rsidP="00AA4D8B">
      <w:pPr>
        <w:pStyle w:val="ListParagraph"/>
        <w:spacing w:before="60" w:after="60"/>
        <w:contextualSpacing w:val="0"/>
        <w:rPr>
          <w:lang w:val="en-AU"/>
        </w:rPr>
      </w:pPr>
      <w:r w:rsidRPr="00FE348C">
        <w:rPr>
          <w:b/>
          <w:bCs/>
          <w:lang w:val="en-AU"/>
        </w:rPr>
        <w:t>NB</w:t>
      </w:r>
      <w:r>
        <w:rPr>
          <w:lang w:val="en-AU"/>
        </w:rPr>
        <w:t xml:space="preserve"> </w:t>
      </w:r>
      <w:r w:rsidR="00FE348C">
        <w:rPr>
          <w:lang w:val="en-AU"/>
        </w:rPr>
        <w:t>–</w:t>
      </w:r>
      <w:r>
        <w:rPr>
          <w:lang w:val="en-AU"/>
        </w:rPr>
        <w:t xml:space="preserve"> </w:t>
      </w:r>
      <w:r w:rsidR="00FE348C">
        <w:rPr>
          <w:lang w:val="en-AU"/>
        </w:rPr>
        <w:t xml:space="preserve">Supervision ORT dosing has been temporarily </w:t>
      </w:r>
      <w:r w:rsidR="00DC2627">
        <w:rPr>
          <w:lang w:val="en-AU"/>
        </w:rPr>
        <w:t xml:space="preserve">relaxed, due </w:t>
      </w:r>
      <w:r w:rsidRPr="00E57394">
        <w:rPr>
          <w:lang w:val="en-AU"/>
        </w:rPr>
        <w:t>to the risks associated</w:t>
      </w:r>
      <w:r>
        <w:rPr>
          <w:lang w:val="en-AU"/>
        </w:rPr>
        <w:t xml:space="preserve"> with</w:t>
      </w:r>
      <w:r w:rsidRPr="00E57394">
        <w:rPr>
          <w:lang w:val="en-AU"/>
        </w:rPr>
        <w:t xml:space="preserve"> infectious disease pandemics or outbreaks</w:t>
      </w:r>
      <w:r w:rsidR="00DC2627">
        <w:rPr>
          <w:lang w:val="en-AU"/>
        </w:rPr>
        <w:t xml:space="preserve">. </w:t>
      </w:r>
    </w:p>
    <w:p w14:paraId="5E2DD1DB" w14:textId="74BFD762" w:rsidR="002B0BA8" w:rsidRPr="0037595D" w:rsidRDefault="002B0BA8" w:rsidP="0037595D">
      <w:pPr>
        <w:pStyle w:val="NoSpacing"/>
        <w:numPr>
          <w:ilvl w:val="0"/>
          <w:numId w:val="10"/>
        </w:numPr>
        <w:spacing w:before="60" w:after="60" w:line="276" w:lineRule="auto"/>
        <w:ind w:hanging="357"/>
        <w:rPr>
          <w:rFonts w:ascii="Gill Sans MT" w:hAnsi="Gill Sans MT"/>
        </w:rPr>
      </w:pPr>
      <w:r>
        <w:rPr>
          <w:rFonts w:ascii="Gill Sans MT" w:hAnsi="Gill Sans MT"/>
        </w:rPr>
        <w:t xml:space="preserve">The </w:t>
      </w:r>
      <w:r w:rsidR="003A3E30">
        <w:rPr>
          <w:rFonts w:ascii="Gill Sans MT" w:hAnsi="Gill Sans MT"/>
        </w:rPr>
        <w:t xml:space="preserve">ORT </w:t>
      </w:r>
      <w:r>
        <w:rPr>
          <w:rFonts w:ascii="Gill Sans MT" w:hAnsi="Gill Sans MT"/>
        </w:rPr>
        <w:t xml:space="preserve">recipient must record on the billing </w:t>
      </w:r>
      <w:r w:rsidR="007C5B2F">
        <w:rPr>
          <w:rFonts w:ascii="Gill Sans MT" w:hAnsi="Gill Sans MT"/>
        </w:rPr>
        <w:t>form</w:t>
      </w:r>
      <w:r>
        <w:rPr>
          <w:rFonts w:ascii="Gill Sans MT" w:hAnsi="Gill Sans MT"/>
        </w:rPr>
        <w:t xml:space="preserve"> that they have received their dose</w:t>
      </w:r>
      <w:r w:rsidR="0037595D">
        <w:rPr>
          <w:rFonts w:ascii="Gill Sans MT" w:hAnsi="Gill Sans MT"/>
        </w:rPr>
        <w:t xml:space="preserve">, with both parties </w:t>
      </w:r>
      <w:r w:rsidR="007709F5" w:rsidRPr="0037595D">
        <w:rPr>
          <w:rFonts w:ascii="Gill Sans MT" w:hAnsi="Gill Sans MT"/>
        </w:rPr>
        <w:t>ensur</w:t>
      </w:r>
      <w:r w:rsidR="0037595D">
        <w:rPr>
          <w:rFonts w:ascii="Gill Sans MT" w:hAnsi="Gill Sans MT"/>
        </w:rPr>
        <w:t>ing</w:t>
      </w:r>
      <w:r w:rsidR="007709F5" w:rsidRPr="0037595D">
        <w:rPr>
          <w:rFonts w:ascii="Gill Sans MT" w:hAnsi="Gill Sans MT"/>
        </w:rPr>
        <w:t xml:space="preserve"> compliance with all </w:t>
      </w:r>
      <w:r w:rsidR="00951460" w:rsidRPr="0037595D">
        <w:rPr>
          <w:rFonts w:ascii="Gill Sans MT" w:hAnsi="Gill Sans MT"/>
        </w:rPr>
        <w:t xml:space="preserve">relevant </w:t>
      </w:r>
      <w:r w:rsidR="007709F5" w:rsidRPr="0037595D">
        <w:rPr>
          <w:rFonts w:ascii="Gill Sans MT" w:hAnsi="Gill Sans MT"/>
        </w:rPr>
        <w:t xml:space="preserve">infectious </w:t>
      </w:r>
      <w:r w:rsidR="00951460" w:rsidRPr="0037595D">
        <w:rPr>
          <w:rFonts w:ascii="Gill Sans MT" w:hAnsi="Gill Sans MT"/>
        </w:rPr>
        <w:t xml:space="preserve">disease protocols. </w:t>
      </w:r>
    </w:p>
    <w:p w14:paraId="7B3E72F0" w14:textId="3CC9FEB8" w:rsidR="00E61321" w:rsidRDefault="0085782B" w:rsidP="007C5B2F">
      <w:pPr>
        <w:pStyle w:val="NoSpacing"/>
        <w:numPr>
          <w:ilvl w:val="0"/>
          <w:numId w:val="10"/>
        </w:numPr>
        <w:spacing w:before="60" w:after="60" w:line="276" w:lineRule="auto"/>
        <w:ind w:hanging="357"/>
        <w:rPr>
          <w:rFonts w:ascii="Gill Sans MT" w:hAnsi="Gill Sans MT"/>
        </w:rPr>
      </w:pPr>
      <w:r>
        <w:rPr>
          <w:rFonts w:ascii="Gill Sans MT" w:hAnsi="Gill Sans MT"/>
        </w:rPr>
        <w:t>The delivery agent must then</w:t>
      </w:r>
      <w:r w:rsidR="00E61321">
        <w:rPr>
          <w:rFonts w:ascii="Gill Sans MT" w:hAnsi="Gill Sans MT"/>
        </w:rPr>
        <w:t xml:space="preserve"> leave the </w:t>
      </w:r>
      <w:r w:rsidR="008F4CFC">
        <w:rPr>
          <w:rFonts w:ascii="Gill Sans MT" w:hAnsi="Gill Sans MT"/>
        </w:rPr>
        <w:t>quarantine facility</w:t>
      </w:r>
      <w:r w:rsidR="00C65ADD">
        <w:rPr>
          <w:rFonts w:ascii="Gill Sans MT" w:hAnsi="Gill Sans MT"/>
        </w:rPr>
        <w:t xml:space="preserve">. </w:t>
      </w:r>
    </w:p>
    <w:p w14:paraId="060DD285" w14:textId="35E0A1CB" w:rsidR="0055427D" w:rsidRPr="0055427D" w:rsidRDefault="0055427D" w:rsidP="005D561F"/>
    <w:p w14:paraId="47666DF5" w14:textId="3FD910D0" w:rsidR="004E31AB" w:rsidRPr="00294B64" w:rsidRDefault="00B06AEE" w:rsidP="00294B64">
      <w:pPr>
        <w:pStyle w:val="Heading3"/>
      </w:pPr>
      <w:r w:rsidRPr="00294B64">
        <w:t>Delivery to private residence</w:t>
      </w:r>
    </w:p>
    <w:p w14:paraId="2361496C" w14:textId="1C1F0DC5" w:rsidR="0002317E" w:rsidRDefault="0002317E" w:rsidP="007C5B2F">
      <w:pPr>
        <w:pStyle w:val="ListParagraph"/>
        <w:numPr>
          <w:ilvl w:val="0"/>
          <w:numId w:val="13"/>
        </w:numPr>
        <w:spacing w:before="60" w:after="60"/>
        <w:contextualSpacing w:val="0"/>
        <w:rPr>
          <w:lang w:val="en-AU"/>
        </w:rPr>
      </w:pPr>
      <w:r>
        <w:rPr>
          <w:lang w:val="en-AU"/>
        </w:rPr>
        <w:t xml:space="preserve">The prescriber </w:t>
      </w:r>
      <w:r w:rsidR="007C79E6">
        <w:rPr>
          <w:lang w:val="en-AU"/>
        </w:rPr>
        <w:t xml:space="preserve">must assess eligibility </w:t>
      </w:r>
      <w:r w:rsidR="00C107EA">
        <w:rPr>
          <w:lang w:val="en-AU"/>
        </w:rPr>
        <w:t xml:space="preserve">for delivery of ORT </w:t>
      </w:r>
      <w:r>
        <w:rPr>
          <w:lang w:val="en-AU"/>
        </w:rPr>
        <w:t>to a private residence</w:t>
      </w:r>
      <w:r w:rsidR="00043AE2">
        <w:rPr>
          <w:lang w:val="en-AU"/>
        </w:rPr>
        <w:t xml:space="preserve"> as described in this document</w:t>
      </w:r>
      <w:r>
        <w:rPr>
          <w:lang w:val="en-AU"/>
        </w:rPr>
        <w:t xml:space="preserve">. </w:t>
      </w:r>
      <w:r w:rsidR="007C79E6">
        <w:rPr>
          <w:lang w:val="en-AU"/>
        </w:rPr>
        <w:t xml:space="preserve">If satisfied the patient is eligible, the prescriber may approve delivery of </w:t>
      </w:r>
      <w:r w:rsidR="00043AE2">
        <w:rPr>
          <w:lang w:val="en-AU"/>
        </w:rPr>
        <w:t xml:space="preserve">ORT </w:t>
      </w:r>
      <w:r w:rsidR="007C79E6">
        <w:rPr>
          <w:lang w:val="en-AU"/>
        </w:rPr>
        <w:t>to a private residence.</w:t>
      </w:r>
    </w:p>
    <w:p w14:paraId="7EB4BC91" w14:textId="2114B349" w:rsidR="007830AA" w:rsidRDefault="007830AA" w:rsidP="007C5B2F">
      <w:pPr>
        <w:pStyle w:val="ListParagraph"/>
        <w:numPr>
          <w:ilvl w:val="0"/>
          <w:numId w:val="13"/>
        </w:numPr>
        <w:spacing w:before="60" w:after="60"/>
        <w:contextualSpacing w:val="0"/>
        <w:rPr>
          <w:lang w:val="en-AU"/>
        </w:rPr>
      </w:pPr>
      <w:r>
        <w:rPr>
          <w:lang w:val="en-AU"/>
        </w:rPr>
        <w:t xml:space="preserve">Once eligibility has been </w:t>
      </w:r>
      <w:r w:rsidR="0002317E">
        <w:rPr>
          <w:lang w:val="en-AU"/>
        </w:rPr>
        <w:t>approved</w:t>
      </w:r>
      <w:r>
        <w:rPr>
          <w:lang w:val="en-AU"/>
        </w:rPr>
        <w:t xml:space="preserve">, the prescriber will </w:t>
      </w:r>
      <w:r w:rsidR="001554FD">
        <w:rPr>
          <w:lang w:val="en-AU"/>
        </w:rPr>
        <w:t xml:space="preserve">confirm </w:t>
      </w:r>
      <w:r w:rsidR="00962FFE">
        <w:rPr>
          <w:lang w:val="en-AU"/>
        </w:rPr>
        <w:t xml:space="preserve">this </w:t>
      </w:r>
      <w:r>
        <w:rPr>
          <w:lang w:val="en-AU"/>
        </w:rPr>
        <w:t xml:space="preserve">with the </w:t>
      </w:r>
      <w:r w:rsidR="00962FFE">
        <w:rPr>
          <w:lang w:val="en-AU"/>
        </w:rPr>
        <w:t xml:space="preserve">patient </w:t>
      </w:r>
      <w:r w:rsidR="00133F18">
        <w:rPr>
          <w:lang w:val="en-AU"/>
        </w:rPr>
        <w:t>receiving ORT</w:t>
      </w:r>
      <w:r w:rsidR="007D648D">
        <w:rPr>
          <w:lang w:val="en-AU"/>
        </w:rPr>
        <w:t>, and</w:t>
      </w:r>
      <w:r w:rsidR="00FB0247">
        <w:rPr>
          <w:lang w:val="en-AU"/>
        </w:rPr>
        <w:t xml:space="preserve"> </w:t>
      </w:r>
      <w:r w:rsidR="001554FD">
        <w:rPr>
          <w:lang w:val="en-AU"/>
        </w:rPr>
        <w:t>communicate</w:t>
      </w:r>
      <w:r w:rsidR="0002317E">
        <w:rPr>
          <w:lang w:val="en-AU"/>
        </w:rPr>
        <w:t>:</w:t>
      </w:r>
      <w:r w:rsidR="00FB0247">
        <w:rPr>
          <w:lang w:val="en-AU"/>
        </w:rPr>
        <w:t xml:space="preserve"> </w:t>
      </w:r>
    </w:p>
    <w:p w14:paraId="2863A200" w14:textId="4159C5BC" w:rsidR="00962FFE" w:rsidRDefault="00962FFE" w:rsidP="007C5B2F">
      <w:pPr>
        <w:pStyle w:val="ListParagraph"/>
        <w:numPr>
          <w:ilvl w:val="1"/>
          <w:numId w:val="13"/>
        </w:numPr>
        <w:spacing w:before="60" w:after="60"/>
        <w:contextualSpacing w:val="0"/>
        <w:rPr>
          <w:lang w:val="en-AU"/>
        </w:rPr>
      </w:pPr>
      <w:r>
        <w:rPr>
          <w:lang w:val="en-AU"/>
        </w:rPr>
        <w:t>That delivery of ORT to a private residence will be time</w:t>
      </w:r>
      <w:r>
        <w:rPr>
          <w:lang w:val="en-AU"/>
        </w:rPr>
        <w:noBreakHyphen/>
        <w:t>limited, and subject to regular review (using the review criteria and timeframes described in this document)</w:t>
      </w:r>
    </w:p>
    <w:p w14:paraId="5DF7C5F2" w14:textId="3FBE6406" w:rsidR="00C55F2C" w:rsidRDefault="001E0242" w:rsidP="007C5B2F">
      <w:pPr>
        <w:pStyle w:val="ListParagraph"/>
        <w:numPr>
          <w:ilvl w:val="1"/>
          <w:numId w:val="13"/>
        </w:numPr>
        <w:spacing w:before="60" w:after="60"/>
        <w:contextualSpacing w:val="0"/>
        <w:rPr>
          <w:lang w:val="en-AU"/>
        </w:rPr>
      </w:pPr>
      <w:r>
        <w:rPr>
          <w:lang w:val="en-AU"/>
        </w:rPr>
        <w:t>The patient and delivery agent have r</w:t>
      </w:r>
      <w:r w:rsidR="00B25ED7">
        <w:rPr>
          <w:lang w:val="en-AU"/>
        </w:rPr>
        <w:t>esponsibility to c</w:t>
      </w:r>
      <w:r w:rsidR="00C55F2C">
        <w:rPr>
          <w:lang w:val="en-AU"/>
        </w:rPr>
        <w:t xml:space="preserve">omply with </w:t>
      </w:r>
      <w:r w:rsidR="00F70DCE">
        <w:rPr>
          <w:lang w:val="en-AU"/>
        </w:rPr>
        <w:t xml:space="preserve">any infectious disease </w:t>
      </w:r>
      <w:r w:rsidR="00B25ED7">
        <w:rPr>
          <w:lang w:val="en-AU"/>
        </w:rPr>
        <w:t xml:space="preserve">instructions or </w:t>
      </w:r>
      <w:r w:rsidR="00F70DCE">
        <w:rPr>
          <w:lang w:val="en-AU"/>
        </w:rPr>
        <w:t>protocols</w:t>
      </w:r>
      <w:r w:rsidR="00B25ED7">
        <w:rPr>
          <w:lang w:val="en-AU"/>
        </w:rPr>
        <w:t xml:space="preserve"> relevant at the time of delivery</w:t>
      </w:r>
      <w:r>
        <w:rPr>
          <w:lang w:val="en-AU"/>
        </w:rPr>
        <w:t>, and provide information of where these requirements can be found</w:t>
      </w:r>
    </w:p>
    <w:p w14:paraId="3B807651" w14:textId="23DF7C3F" w:rsidR="0002317E" w:rsidRDefault="0002317E" w:rsidP="007C5B2F">
      <w:pPr>
        <w:pStyle w:val="ListParagraph"/>
        <w:numPr>
          <w:ilvl w:val="1"/>
          <w:numId w:val="13"/>
        </w:numPr>
        <w:spacing w:before="60" w:after="60"/>
        <w:contextualSpacing w:val="0"/>
        <w:rPr>
          <w:lang w:val="en-AU"/>
        </w:rPr>
      </w:pPr>
      <w:r>
        <w:rPr>
          <w:lang w:val="en-AU"/>
        </w:rPr>
        <w:t>Safe storage of any takeaway doses provided</w:t>
      </w:r>
    </w:p>
    <w:p w14:paraId="45181D25" w14:textId="3BE94693" w:rsidR="00FB0247" w:rsidRDefault="002034F1" w:rsidP="007C5B2F">
      <w:pPr>
        <w:pStyle w:val="ListParagraph"/>
        <w:numPr>
          <w:ilvl w:val="1"/>
          <w:numId w:val="13"/>
        </w:numPr>
        <w:spacing w:before="60" w:after="60"/>
        <w:contextualSpacing w:val="0"/>
        <w:rPr>
          <w:lang w:val="en-AU"/>
        </w:rPr>
      </w:pPr>
      <w:r>
        <w:rPr>
          <w:lang w:val="en-AU"/>
        </w:rPr>
        <w:t>Responsibility to use the medication as prescribed, including p</w:t>
      </w:r>
      <w:r w:rsidR="0002317E">
        <w:rPr>
          <w:lang w:val="en-AU"/>
        </w:rPr>
        <w:t>reventing m</w:t>
      </w:r>
      <w:r w:rsidR="004656AE">
        <w:rPr>
          <w:lang w:val="en-AU"/>
        </w:rPr>
        <w:t>edication diversion</w:t>
      </w:r>
    </w:p>
    <w:p w14:paraId="271A97A0" w14:textId="70E01AB4" w:rsidR="00653199" w:rsidRDefault="00E41CD3" w:rsidP="007C5B2F">
      <w:pPr>
        <w:pStyle w:val="ListParagraph"/>
        <w:numPr>
          <w:ilvl w:val="0"/>
          <w:numId w:val="13"/>
        </w:numPr>
        <w:spacing w:before="60" w:after="60"/>
        <w:contextualSpacing w:val="0"/>
        <w:rPr>
          <w:lang w:val="en-AU"/>
        </w:rPr>
      </w:pPr>
      <w:r>
        <w:rPr>
          <w:lang w:val="en-AU"/>
        </w:rPr>
        <w:t xml:space="preserve">The </w:t>
      </w:r>
      <w:r w:rsidR="001206D1">
        <w:rPr>
          <w:lang w:val="en-AU"/>
        </w:rPr>
        <w:t xml:space="preserve">prescriber </w:t>
      </w:r>
      <w:r>
        <w:rPr>
          <w:lang w:val="en-AU"/>
        </w:rPr>
        <w:t xml:space="preserve">will </w:t>
      </w:r>
      <w:r w:rsidR="0002317E">
        <w:rPr>
          <w:lang w:val="en-AU"/>
        </w:rPr>
        <w:t xml:space="preserve">complete the </w:t>
      </w:r>
      <w:r w:rsidR="0002317E" w:rsidRPr="004563E4">
        <w:rPr>
          <w:i/>
          <w:iCs/>
          <w:lang w:val="en-AU"/>
        </w:rPr>
        <w:t>Delivery of Opioid Replacement Therapy Billing Form</w:t>
      </w:r>
      <w:r w:rsidR="0002317E">
        <w:rPr>
          <w:lang w:val="en-AU"/>
        </w:rPr>
        <w:t xml:space="preserve"> and send to the dispensing agent, as the authorisation mechanism for delivery of ORT to a private residence. </w:t>
      </w:r>
      <w:r>
        <w:rPr>
          <w:lang w:val="en-AU"/>
        </w:rPr>
        <w:t xml:space="preserve"> </w:t>
      </w:r>
    </w:p>
    <w:p w14:paraId="4D555B27" w14:textId="765B4113" w:rsidR="00EA119E" w:rsidRDefault="00EA119E" w:rsidP="007C5B2F">
      <w:pPr>
        <w:pStyle w:val="ListParagraph"/>
        <w:numPr>
          <w:ilvl w:val="0"/>
          <w:numId w:val="13"/>
        </w:numPr>
        <w:spacing w:before="60" w:after="60"/>
        <w:contextualSpacing w:val="0"/>
        <w:rPr>
          <w:lang w:val="en-AU"/>
        </w:rPr>
      </w:pPr>
      <w:r>
        <w:rPr>
          <w:lang w:val="en-AU"/>
        </w:rPr>
        <w:t xml:space="preserve">The dispensing agent and/or the delivery agent will communicate with the </w:t>
      </w:r>
      <w:r w:rsidR="00133F18">
        <w:rPr>
          <w:lang w:val="en-AU"/>
        </w:rPr>
        <w:t>person receiving ORT</w:t>
      </w:r>
      <w:r>
        <w:rPr>
          <w:lang w:val="en-AU"/>
        </w:rPr>
        <w:t xml:space="preserve"> </w:t>
      </w:r>
      <w:r w:rsidR="000D134B">
        <w:rPr>
          <w:lang w:val="en-AU"/>
        </w:rPr>
        <w:t xml:space="preserve">to confirm that their prescriber has </w:t>
      </w:r>
      <w:r w:rsidR="000D134B">
        <w:t>approved home delivery for a limited time, and that there are certain requirements that need to be met.</w:t>
      </w:r>
      <w:r w:rsidR="002D17C8">
        <w:t xml:space="preserve"> These requirements may be used as input into </w:t>
      </w:r>
      <w:r w:rsidR="00306CEF">
        <w:t>risk assessments usually undertaken as part of medication delivery to a private residence.</w:t>
      </w:r>
      <w:r w:rsidR="000D134B">
        <w:t xml:space="preserve"> These may include: </w:t>
      </w:r>
    </w:p>
    <w:p w14:paraId="0FBBBC84" w14:textId="47ADF241" w:rsidR="00EA119E" w:rsidRDefault="00EA119E" w:rsidP="007C5B2F">
      <w:pPr>
        <w:pStyle w:val="ListParagraph"/>
        <w:numPr>
          <w:ilvl w:val="1"/>
          <w:numId w:val="13"/>
        </w:numPr>
        <w:spacing w:before="60" w:after="60"/>
        <w:contextualSpacing w:val="0"/>
        <w:rPr>
          <w:lang w:val="en-AU"/>
        </w:rPr>
      </w:pPr>
      <w:r>
        <w:rPr>
          <w:lang w:val="en-AU"/>
        </w:rPr>
        <w:t xml:space="preserve">Whether there is mobile phone reception at the property and which network(s), as the delivery agent will need to call the </w:t>
      </w:r>
      <w:r w:rsidR="00133F18">
        <w:rPr>
          <w:lang w:val="en-AU"/>
        </w:rPr>
        <w:t>person r</w:t>
      </w:r>
      <w:r w:rsidR="00A81F89">
        <w:rPr>
          <w:lang w:val="en-AU"/>
        </w:rPr>
        <w:t>eceiving ORT</w:t>
      </w:r>
      <w:r>
        <w:rPr>
          <w:lang w:val="en-AU"/>
        </w:rPr>
        <w:t xml:space="preserve"> to confirm they have arrived</w:t>
      </w:r>
    </w:p>
    <w:p w14:paraId="4B4D3221" w14:textId="72F2B1F5" w:rsidR="00EA119E" w:rsidRDefault="00EC2851" w:rsidP="007C5B2F">
      <w:pPr>
        <w:pStyle w:val="ListParagraph"/>
        <w:numPr>
          <w:ilvl w:val="1"/>
          <w:numId w:val="13"/>
        </w:numPr>
        <w:spacing w:before="60" w:after="60"/>
        <w:contextualSpacing w:val="0"/>
        <w:rPr>
          <w:lang w:val="en-AU"/>
        </w:rPr>
      </w:pPr>
      <w:r>
        <w:rPr>
          <w:lang w:val="en-AU"/>
        </w:rPr>
        <w:t>Who else lives at the location</w:t>
      </w:r>
    </w:p>
    <w:p w14:paraId="60E598CE" w14:textId="1348CBD3" w:rsidR="00907DD7" w:rsidRDefault="007E603B" w:rsidP="007C5B2F">
      <w:pPr>
        <w:pStyle w:val="ListParagraph"/>
        <w:numPr>
          <w:ilvl w:val="1"/>
          <w:numId w:val="13"/>
        </w:numPr>
        <w:spacing w:before="60" w:after="60"/>
        <w:contextualSpacing w:val="0"/>
        <w:rPr>
          <w:lang w:val="en-AU"/>
        </w:rPr>
      </w:pPr>
      <w:r w:rsidRPr="00907DD7">
        <w:rPr>
          <w:lang w:val="en-AU"/>
        </w:rPr>
        <w:t>Matters relevant to accessing the property</w:t>
      </w:r>
      <w:r w:rsidR="00C346BF" w:rsidRPr="00907DD7">
        <w:rPr>
          <w:lang w:val="en-AU"/>
        </w:rPr>
        <w:t xml:space="preserve"> including, but not limited to</w:t>
      </w:r>
      <w:r w:rsidR="00D3575F">
        <w:rPr>
          <w:lang w:val="en-AU"/>
        </w:rPr>
        <w:t>:</w:t>
      </w:r>
    </w:p>
    <w:p w14:paraId="792A7C99" w14:textId="5638327C" w:rsidR="00907DD7" w:rsidRDefault="00C346BF" w:rsidP="007C5B2F">
      <w:pPr>
        <w:pStyle w:val="ListParagraph"/>
        <w:numPr>
          <w:ilvl w:val="2"/>
          <w:numId w:val="13"/>
        </w:numPr>
        <w:spacing w:before="60" w:after="60"/>
        <w:contextualSpacing w:val="0"/>
        <w:rPr>
          <w:lang w:val="en-AU"/>
        </w:rPr>
      </w:pPr>
      <w:r w:rsidRPr="00907DD7">
        <w:rPr>
          <w:lang w:val="en-AU"/>
        </w:rPr>
        <w:t>parking</w:t>
      </w:r>
      <w:r w:rsidR="007E603B" w:rsidRPr="00907DD7">
        <w:rPr>
          <w:lang w:val="en-AU"/>
        </w:rPr>
        <w:t xml:space="preserve"> availability</w:t>
      </w:r>
      <w:r w:rsidR="00907DD7">
        <w:rPr>
          <w:lang w:val="en-AU"/>
        </w:rPr>
        <w:t>,</w:t>
      </w:r>
    </w:p>
    <w:p w14:paraId="2570FCD0" w14:textId="77777777" w:rsidR="00907DD7" w:rsidRDefault="00C346BF" w:rsidP="007C5B2F">
      <w:pPr>
        <w:pStyle w:val="ListParagraph"/>
        <w:numPr>
          <w:ilvl w:val="2"/>
          <w:numId w:val="13"/>
        </w:numPr>
        <w:spacing w:before="60" w:after="60"/>
        <w:contextualSpacing w:val="0"/>
        <w:rPr>
          <w:lang w:val="en-AU"/>
        </w:rPr>
      </w:pPr>
      <w:r w:rsidRPr="00907DD7">
        <w:rPr>
          <w:lang w:val="en-AU"/>
        </w:rPr>
        <w:t>pets</w:t>
      </w:r>
      <w:r w:rsidR="007E603B" w:rsidRPr="00907DD7">
        <w:rPr>
          <w:lang w:val="en-AU"/>
        </w:rPr>
        <w:t xml:space="preserve"> – presence, location, restraint etc.</w:t>
      </w:r>
      <w:r w:rsidRPr="00907DD7">
        <w:rPr>
          <w:lang w:val="en-AU"/>
        </w:rPr>
        <w:t xml:space="preserve">, </w:t>
      </w:r>
    </w:p>
    <w:p w14:paraId="6579C094" w14:textId="1E69B098" w:rsidR="000F1801" w:rsidRDefault="00C346BF" w:rsidP="007C5B2F">
      <w:pPr>
        <w:pStyle w:val="ListParagraph"/>
        <w:numPr>
          <w:ilvl w:val="2"/>
          <w:numId w:val="13"/>
        </w:numPr>
        <w:spacing w:before="60" w:after="60"/>
        <w:contextualSpacing w:val="0"/>
        <w:rPr>
          <w:lang w:val="en-AU"/>
        </w:rPr>
      </w:pPr>
      <w:r w:rsidRPr="00907DD7">
        <w:rPr>
          <w:lang w:val="en-AU"/>
        </w:rPr>
        <w:t>road quality</w:t>
      </w:r>
      <w:r w:rsidR="00907DD7">
        <w:rPr>
          <w:lang w:val="en-AU"/>
        </w:rPr>
        <w:t xml:space="preserve"> and safety</w:t>
      </w:r>
    </w:p>
    <w:p w14:paraId="57A8788E" w14:textId="5FB476DC" w:rsidR="00383E27" w:rsidRPr="00907DD7" w:rsidRDefault="00383E27" w:rsidP="007C5B2F">
      <w:pPr>
        <w:pStyle w:val="ListParagraph"/>
        <w:numPr>
          <w:ilvl w:val="2"/>
          <w:numId w:val="13"/>
        </w:numPr>
        <w:spacing w:before="60" w:after="60"/>
        <w:contextualSpacing w:val="0"/>
        <w:rPr>
          <w:lang w:val="en-AU"/>
        </w:rPr>
      </w:pPr>
      <w:r>
        <w:rPr>
          <w:lang w:val="en-AU"/>
        </w:rPr>
        <w:t>anything else relevant to the delivery context</w:t>
      </w:r>
      <w:r w:rsidR="00B0750D">
        <w:rPr>
          <w:lang w:val="en-AU"/>
        </w:rPr>
        <w:t>.</w:t>
      </w:r>
    </w:p>
    <w:p w14:paraId="0F3C665F" w14:textId="404BC332" w:rsidR="00EC2851" w:rsidRDefault="00EC2851" w:rsidP="007C5B2F">
      <w:pPr>
        <w:pStyle w:val="ListParagraph"/>
        <w:numPr>
          <w:ilvl w:val="1"/>
          <w:numId w:val="13"/>
        </w:numPr>
        <w:spacing w:before="60" w:after="60"/>
        <w:contextualSpacing w:val="0"/>
        <w:rPr>
          <w:lang w:val="en-AU"/>
        </w:rPr>
      </w:pPr>
      <w:r>
        <w:rPr>
          <w:lang w:val="en-AU"/>
        </w:rPr>
        <w:t xml:space="preserve">Any </w:t>
      </w:r>
      <w:r w:rsidR="00383E27">
        <w:rPr>
          <w:lang w:val="en-AU"/>
        </w:rPr>
        <w:t xml:space="preserve">relevant </w:t>
      </w:r>
      <w:r>
        <w:rPr>
          <w:lang w:val="en-AU"/>
        </w:rPr>
        <w:t>infectious disease</w:t>
      </w:r>
      <w:r>
        <w:rPr>
          <w:lang w:val="en-AU"/>
        </w:rPr>
        <w:noBreakHyphen/>
        <w:t xml:space="preserve">related </w:t>
      </w:r>
      <w:r w:rsidR="00653199">
        <w:rPr>
          <w:lang w:val="en-AU"/>
        </w:rPr>
        <w:t>matters</w:t>
      </w:r>
      <w:r w:rsidR="00383E27">
        <w:rPr>
          <w:lang w:val="en-AU"/>
        </w:rPr>
        <w:t xml:space="preserve"> including, but not limited to</w:t>
      </w:r>
      <w:r w:rsidR="00B0750D">
        <w:rPr>
          <w:lang w:val="en-AU"/>
        </w:rPr>
        <w:t>:</w:t>
      </w:r>
    </w:p>
    <w:p w14:paraId="74D67CD3" w14:textId="72283B1E" w:rsidR="00EB45C3" w:rsidRDefault="00563397" w:rsidP="007C5B2F">
      <w:pPr>
        <w:pStyle w:val="ListParagraph"/>
        <w:numPr>
          <w:ilvl w:val="2"/>
          <w:numId w:val="13"/>
        </w:numPr>
        <w:spacing w:before="60" w:after="60"/>
        <w:contextualSpacing w:val="0"/>
        <w:rPr>
          <w:lang w:val="en-AU"/>
        </w:rPr>
      </w:pPr>
      <w:r>
        <w:rPr>
          <w:lang w:val="en-AU"/>
        </w:rPr>
        <w:lastRenderedPageBreak/>
        <w:t xml:space="preserve">Infectious disease </w:t>
      </w:r>
      <w:r w:rsidR="00EB45C3">
        <w:rPr>
          <w:lang w:val="en-AU"/>
        </w:rPr>
        <w:t>protocols currently recommended or required</w:t>
      </w:r>
      <w:r w:rsidR="0002317E">
        <w:rPr>
          <w:lang w:val="en-AU"/>
        </w:rPr>
        <w:t xml:space="preserve"> by State or Federal Governments</w:t>
      </w:r>
      <w:r w:rsidR="00382667">
        <w:rPr>
          <w:lang w:val="en-AU"/>
        </w:rPr>
        <w:t>, such as</w:t>
      </w:r>
      <w:r>
        <w:rPr>
          <w:lang w:val="en-AU"/>
        </w:rPr>
        <w:t xml:space="preserve"> </w:t>
      </w:r>
      <w:r w:rsidR="00382667">
        <w:rPr>
          <w:lang w:val="en-AU"/>
        </w:rPr>
        <w:t>physical distancing, PPE, hygiene protocols</w:t>
      </w:r>
      <w:r w:rsidR="00311CC1">
        <w:rPr>
          <w:lang w:val="en-AU"/>
        </w:rPr>
        <w:t>, COVID</w:t>
      </w:r>
      <w:r w:rsidR="00311CC1">
        <w:rPr>
          <w:lang w:val="en-AU"/>
        </w:rPr>
        <w:noBreakHyphen/>
        <w:t>safe plans</w:t>
      </w:r>
      <w:r w:rsidR="00382667">
        <w:rPr>
          <w:lang w:val="en-AU"/>
        </w:rPr>
        <w:t xml:space="preserve"> etc. </w:t>
      </w:r>
    </w:p>
    <w:p w14:paraId="26CEF50A" w14:textId="358C3AB1" w:rsidR="00EB45C3" w:rsidRDefault="00382667" w:rsidP="007C5B2F">
      <w:pPr>
        <w:pStyle w:val="ListParagraph"/>
        <w:numPr>
          <w:ilvl w:val="2"/>
          <w:numId w:val="13"/>
        </w:numPr>
        <w:spacing w:before="60" w:after="60"/>
        <w:contextualSpacing w:val="0"/>
        <w:rPr>
          <w:lang w:val="en-AU"/>
        </w:rPr>
      </w:pPr>
      <w:r>
        <w:rPr>
          <w:lang w:val="en-AU"/>
        </w:rPr>
        <w:t>Other protocols required to prevent or minimise the spreading of infectious agents</w:t>
      </w:r>
      <w:r w:rsidR="00B0750D">
        <w:rPr>
          <w:lang w:val="en-AU"/>
        </w:rPr>
        <w:t>.</w:t>
      </w:r>
    </w:p>
    <w:p w14:paraId="75085D8E" w14:textId="22544F3A" w:rsidR="007830AA" w:rsidRPr="007830AA" w:rsidRDefault="007830AA" w:rsidP="007C5B2F">
      <w:pPr>
        <w:pStyle w:val="ListParagraph"/>
        <w:numPr>
          <w:ilvl w:val="0"/>
          <w:numId w:val="13"/>
        </w:numPr>
        <w:spacing w:before="60" w:after="60"/>
        <w:contextualSpacing w:val="0"/>
        <w:rPr>
          <w:lang w:val="en-AU"/>
        </w:rPr>
      </w:pPr>
      <w:r w:rsidRPr="002C7BA5">
        <w:rPr>
          <w:lang w:val="en-AU"/>
        </w:rPr>
        <w:t xml:space="preserve">The dispensing agent will dispense the medication in accordance with </w:t>
      </w:r>
      <w:r w:rsidR="00214320">
        <w:rPr>
          <w:lang w:val="en-AU"/>
        </w:rPr>
        <w:t xml:space="preserve">the above, </w:t>
      </w:r>
      <w:r w:rsidR="0073764E">
        <w:rPr>
          <w:lang w:val="en-AU"/>
        </w:rPr>
        <w:t xml:space="preserve">and in compliance with </w:t>
      </w:r>
      <w:r w:rsidRPr="002C7BA5">
        <w:rPr>
          <w:lang w:val="en-AU"/>
        </w:rPr>
        <w:t xml:space="preserve">all relevant legislation, </w:t>
      </w:r>
      <w:proofErr w:type="gramStart"/>
      <w:r w:rsidRPr="002C7BA5">
        <w:rPr>
          <w:lang w:val="en-AU"/>
        </w:rPr>
        <w:t>regulations</w:t>
      </w:r>
      <w:proofErr w:type="gramEnd"/>
      <w:r w:rsidRPr="002C7BA5">
        <w:rPr>
          <w:lang w:val="en-AU"/>
        </w:rPr>
        <w:t xml:space="preserve"> and policy</w:t>
      </w:r>
      <w:r w:rsidR="0073764E">
        <w:rPr>
          <w:lang w:val="en-AU"/>
        </w:rPr>
        <w:t>.</w:t>
      </w:r>
    </w:p>
    <w:p w14:paraId="0C82B4BD" w14:textId="438982A8" w:rsidR="007830AA" w:rsidRDefault="007830AA" w:rsidP="007C5B2F">
      <w:pPr>
        <w:pStyle w:val="ListParagraph"/>
        <w:numPr>
          <w:ilvl w:val="0"/>
          <w:numId w:val="13"/>
        </w:numPr>
        <w:spacing w:before="60" w:after="60"/>
        <w:contextualSpacing w:val="0"/>
        <w:rPr>
          <w:lang w:val="en-AU"/>
        </w:rPr>
      </w:pPr>
      <w:r w:rsidRPr="002C7BA5">
        <w:rPr>
          <w:lang w:val="en-AU"/>
        </w:rPr>
        <w:t xml:space="preserve">The delivery agent will </w:t>
      </w:r>
      <w:r>
        <w:rPr>
          <w:lang w:val="en-AU"/>
        </w:rPr>
        <w:t xml:space="preserve">transport the medication to the </w:t>
      </w:r>
      <w:r w:rsidR="0002317E">
        <w:rPr>
          <w:lang w:val="en-AU"/>
        </w:rPr>
        <w:t>private residence</w:t>
      </w:r>
      <w:r w:rsidR="003E5C8B">
        <w:rPr>
          <w:lang w:val="en-AU"/>
        </w:rPr>
        <w:t>, using the shortest practical route</w:t>
      </w:r>
      <w:r>
        <w:rPr>
          <w:lang w:val="en-AU"/>
        </w:rPr>
        <w:t xml:space="preserve">, </w:t>
      </w:r>
      <w:r w:rsidRPr="002C7BA5">
        <w:rPr>
          <w:lang w:val="en-AU"/>
        </w:rPr>
        <w:t>ensur</w:t>
      </w:r>
      <w:r>
        <w:rPr>
          <w:lang w:val="en-AU"/>
        </w:rPr>
        <w:t>ing</w:t>
      </w:r>
      <w:r w:rsidRPr="002C7BA5">
        <w:rPr>
          <w:lang w:val="en-AU"/>
        </w:rPr>
        <w:t xml:space="preserve"> compliance with </w:t>
      </w:r>
      <w:r w:rsidR="0002317E">
        <w:rPr>
          <w:lang w:val="en-AU"/>
        </w:rPr>
        <w:t xml:space="preserve">any </w:t>
      </w:r>
      <w:r w:rsidRPr="002C7BA5">
        <w:rPr>
          <w:lang w:val="en-AU"/>
        </w:rPr>
        <w:t xml:space="preserve">relevant legislation, </w:t>
      </w:r>
      <w:proofErr w:type="gramStart"/>
      <w:r w:rsidRPr="002C7BA5">
        <w:rPr>
          <w:lang w:val="en-AU"/>
        </w:rPr>
        <w:t>regulations</w:t>
      </w:r>
      <w:proofErr w:type="gramEnd"/>
      <w:r w:rsidRPr="002C7BA5">
        <w:rPr>
          <w:lang w:val="en-AU"/>
        </w:rPr>
        <w:t xml:space="preserve"> and policy</w:t>
      </w:r>
      <w:r>
        <w:rPr>
          <w:lang w:val="en-AU"/>
        </w:rPr>
        <w:t xml:space="preserve">. If the dispensing agent and delivery agent are not the same, the dispensing agent will ensure that the delivery agent is aware of, and equipped to comply with, relevant legislation, </w:t>
      </w:r>
      <w:proofErr w:type="gramStart"/>
      <w:r>
        <w:rPr>
          <w:lang w:val="en-AU"/>
        </w:rPr>
        <w:t>regulations</w:t>
      </w:r>
      <w:proofErr w:type="gramEnd"/>
      <w:r>
        <w:rPr>
          <w:lang w:val="en-AU"/>
        </w:rPr>
        <w:t xml:space="preserve"> and policy. </w:t>
      </w:r>
    </w:p>
    <w:p w14:paraId="0B677430" w14:textId="38378016" w:rsidR="00384C4A" w:rsidRPr="00384C4A" w:rsidRDefault="00384C4A" w:rsidP="00384C4A">
      <w:pPr>
        <w:pStyle w:val="ListParagraph"/>
        <w:numPr>
          <w:ilvl w:val="0"/>
          <w:numId w:val="13"/>
        </w:numPr>
        <w:spacing w:before="60" w:after="60"/>
        <w:contextualSpacing w:val="0"/>
        <w:rPr>
          <w:lang w:val="en-AU"/>
        </w:rPr>
      </w:pPr>
      <w:r>
        <w:rPr>
          <w:lang w:val="en-AU"/>
        </w:rPr>
        <w:t xml:space="preserve">The delivery agent must transfer possession of ORT </w:t>
      </w:r>
      <w:r w:rsidR="003B2475">
        <w:rPr>
          <w:lang w:val="en-AU"/>
        </w:rPr>
        <w:t xml:space="preserve">directly </w:t>
      </w:r>
      <w:r>
        <w:rPr>
          <w:lang w:val="en-AU"/>
        </w:rPr>
        <w:t xml:space="preserve">to the </w:t>
      </w:r>
      <w:r w:rsidR="00A81F89">
        <w:rPr>
          <w:lang w:val="en-AU"/>
        </w:rPr>
        <w:t>prescribed person</w:t>
      </w:r>
      <w:r>
        <w:rPr>
          <w:lang w:val="en-AU"/>
        </w:rPr>
        <w:t xml:space="preserve">. The delivery agent must not transfer possession of ORT to the </w:t>
      </w:r>
      <w:r w:rsidR="00A81F89">
        <w:rPr>
          <w:lang w:val="en-AU"/>
        </w:rPr>
        <w:t>prescribed person</w:t>
      </w:r>
      <w:r>
        <w:rPr>
          <w:lang w:val="en-AU"/>
        </w:rPr>
        <w:t xml:space="preserve"> through other agents, stand ins or intermediaries. </w:t>
      </w:r>
    </w:p>
    <w:p w14:paraId="0D5C765A" w14:textId="1C78A20A" w:rsidR="007830AA" w:rsidRDefault="007830AA" w:rsidP="007C5B2F">
      <w:pPr>
        <w:pStyle w:val="ListParagraph"/>
        <w:numPr>
          <w:ilvl w:val="0"/>
          <w:numId w:val="13"/>
        </w:numPr>
        <w:spacing w:before="60" w:after="60"/>
        <w:contextualSpacing w:val="0"/>
        <w:rPr>
          <w:lang w:val="en-AU"/>
        </w:rPr>
      </w:pPr>
      <w:r w:rsidRPr="002C7BA5">
        <w:rPr>
          <w:lang w:val="en-AU"/>
        </w:rPr>
        <w:t xml:space="preserve">The delivery agent will </w:t>
      </w:r>
      <w:r>
        <w:rPr>
          <w:lang w:val="en-AU"/>
        </w:rPr>
        <w:t xml:space="preserve">sight photo identification of the </w:t>
      </w:r>
      <w:r w:rsidR="00A81F89">
        <w:rPr>
          <w:lang w:val="en-AU"/>
        </w:rPr>
        <w:t>person</w:t>
      </w:r>
      <w:r>
        <w:rPr>
          <w:lang w:val="en-AU"/>
        </w:rPr>
        <w:t xml:space="preserve"> receiving </w:t>
      </w:r>
      <w:r w:rsidR="00A81F89">
        <w:rPr>
          <w:lang w:val="en-AU"/>
        </w:rPr>
        <w:t>ORT</w:t>
      </w:r>
      <w:r>
        <w:rPr>
          <w:lang w:val="en-AU"/>
        </w:rPr>
        <w:t xml:space="preserve"> before transfer of possession occurs</w:t>
      </w:r>
      <w:r w:rsidR="0002317E">
        <w:rPr>
          <w:lang w:val="en-AU"/>
        </w:rPr>
        <w:t xml:space="preserve">. </w:t>
      </w:r>
      <w:r w:rsidR="0002317E" w:rsidRPr="0002317E">
        <w:rPr>
          <w:lang w:val="en-AU"/>
        </w:rPr>
        <w:t>If the person receiving medication cannot produce photo identification, the delivery agent must sight multiple forms of identification, to ensure they are satisfied that it is the intended recipient.</w:t>
      </w:r>
    </w:p>
    <w:p w14:paraId="727B18E0" w14:textId="38A5CC97" w:rsidR="0002317E" w:rsidRDefault="0002317E" w:rsidP="007C5B2F">
      <w:pPr>
        <w:pStyle w:val="ListParagraph"/>
        <w:numPr>
          <w:ilvl w:val="0"/>
          <w:numId w:val="13"/>
        </w:numPr>
        <w:spacing w:before="60" w:after="60"/>
        <w:contextualSpacing w:val="0"/>
        <w:rPr>
          <w:lang w:val="en-AU"/>
        </w:rPr>
      </w:pPr>
      <w:r>
        <w:rPr>
          <w:lang w:val="en-AU"/>
        </w:rPr>
        <w:t>The delivery agent (on behalf of the dispenser</w:t>
      </w:r>
      <w:r w:rsidR="009F6536">
        <w:rPr>
          <w:lang w:val="en-AU"/>
        </w:rPr>
        <w:t>, if not the same</w:t>
      </w:r>
      <w:r>
        <w:rPr>
          <w:lang w:val="en-AU"/>
        </w:rPr>
        <w:t xml:space="preserve">) will assess the person receiving ORT to determine whether the dosage should be administered (as per normal dispensing practice), consistent with the requirements of the TOPP Policy and Clinical </w:t>
      </w:r>
      <w:r w:rsidR="003B2475">
        <w:rPr>
          <w:lang w:val="en-AU"/>
        </w:rPr>
        <w:t xml:space="preserve">Practice </w:t>
      </w:r>
      <w:r>
        <w:rPr>
          <w:lang w:val="en-AU"/>
        </w:rPr>
        <w:t xml:space="preserve">Standards. </w:t>
      </w:r>
    </w:p>
    <w:p w14:paraId="5AD349E8" w14:textId="10E313CB" w:rsidR="00BF09F3" w:rsidRDefault="00BF09F3" w:rsidP="007C5B2F">
      <w:pPr>
        <w:pStyle w:val="ListParagraph"/>
        <w:numPr>
          <w:ilvl w:val="0"/>
          <w:numId w:val="13"/>
        </w:numPr>
        <w:spacing w:before="60" w:after="60"/>
        <w:contextualSpacing w:val="0"/>
        <w:rPr>
          <w:lang w:val="en-AU"/>
        </w:rPr>
      </w:pPr>
      <w:r>
        <w:rPr>
          <w:lang w:val="en-AU"/>
        </w:rPr>
        <w:t>The delivery agent will observe the dose as follows:</w:t>
      </w:r>
    </w:p>
    <w:p w14:paraId="3A21F09F" w14:textId="247AAEB2" w:rsidR="00F41D9E" w:rsidRPr="008E2591" w:rsidRDefault="00F41D9E" w:rsidP="00F41D9E">
      <w:pPr>
        <w:pStyle w:val="NoSpacing"/>
        <w:numPr>
          <w:ilvl w:val="1"/>
          <w:numId w:val="13"/>
        </w:numPr>
        <w:spacing w:before="60" w:after="60" w:line="276" w:lineRule="auto"/>
        <w:rPr>
          <w:rFonts w:ascii="Gill Sans MT" w:hAnsi="Gill Sans MT"/>
        </w:rPr>
      </w:pPr>
      <w:r w:rsidRPr="00120D9F">
        <w:rPr>
          <w:rFonts w:ascii="Gill Sans MT" w:hAnsi="Gill Sans MT"/>
          <w:u w:val="single"/>
        </w:rPr>
        <w:t>Subutex / Suboxone:</w:t>
      </w:r>
      <w:r w:rsidRPr="00120D9F">
        <w:rPr>
          <w:rFonts w:ascii="Gill Sans MT" w:hAnsi="Gill Sans MT"/>
        </w:rPr>
        <w:t xml:space="preserve"> </w:t>
      </w:r>
      <w:r>
        <w:rPr>
          <w:rFonts w:ascii="Gill Sans MT" w:hAnsi="Gill Sans MT"/>
        </w:rPr>
        <w:t>Delivery agent</w:t>
      </w:r>
      <w:r w:rsidRPr="00120D9F">
        <w:rPr>
          <w:rFonts w:ascii="Gill Sans MT" w:hAnsi="Gill Sans MT"/>
        </w:rPr>
        <w:t xml:space="preserve"> to observe </w:t>
      </w:r>
      <w:r>
        <w:rPr>
          <w:rFonts w:ascii="Gill Sans MT" w:hAnsi="Gill Sans MT"/>
        </w:rPr>
        <w:t>ORT recipient</w:t>
      </w:r>
      <w:r w:rsidRPr="00120D9F">
        <w:rPr>
          <w:rFonts w:ascii="Gill Sans MT" w:hAnsi="Gill Sans MT"/>
        </w:rPr>
        <w:t xml:space="preserve"> place </w:t>
      </w:r>
      <w:r>
        <w:rPr>
          <w:rFonts w:ascii="Gill Sans MT" w:hAnsi="Gill Sans MT"/>
        </w:rPr>
        <w:t xml:space="preserve">dose in </w:t>
      </w:r>
      <w:r w:rsidRPr="00120D9F">
        <w:rPr>
          <w:rFonts w:ascii="Gill Sans MT" w:hAnsi="Gill Sans MT"/>
        </w:rPr>
        <w:t>their mouth (no close checking of mouth)</w:t>
      </w:r>
      <w:r>
        <w:rPr>
          <w:rFonts w:ascii="Gill Sans MT" w:hAnsi="Gill Sans MT"/>
        </w:rPr>
        <w:t xml:space="preserve">.  Any takeaway doses must be taken inside by the </w:t>
      </w:r>
      <w:r w:rsidR="003D34DF">
        <w:rPr>
          <w:rFonts w:ascii="Gill Sans MT" w:hAnsi="Gill Sans MT"/>
        </w:rPr>
        <w:t>ORT recipient</w:t>
      </w:r>
      <w:r>
        <w:rPr>
          <w:rFonts w:ascii="Gill Sans MT" w:hAnsi="Gill Sans MT"/>
        </w:rPr>
        <w:t>.</w:t>
      </w:r>
    </w:p>
    <w:p w14:paraId="4318D249" w14:textId="77777777" w:rsidR="00F41D9E" w:rsidRDefault="00F41D9E" w:rsidP="00F41D9E">
      <w:pPr>
        <w:pStyle w:val="NoSpacing"/>
        <w:numPr>
          <w:ilvl w:val="1"/>
          <w:numId w:val="13"/>
        </w:numPr>
        <w:spacing w:before="60" w:after="60" w:line="276" w:lineRule="auto"/>
        <w:rPr>
          <w:rFonts w:ascii="Gill Sans MT" w:hAnsi="Gill Sans MT"/>
        </w:rPr>
      </w:pPr>
      <w:r w:rsidRPr="00120D9F">
        <w:rPr>
          <w:rFonts w:ascii="Gill Sans MT" w:hAnsi="Gill Sans MT"/>
          <w:u w:val="single"/>
        </w:rPr>
        <w:t>Methadone:</w:t>
      </w:r>
      <w:r w:rsidRPr="00120D9F">
        <w:rPr>
          <w:rFonts w:ascii="Gill Sans MT" w:hAnsi="Gill Sans MT"/>
        </w:rPr>
        <w:t xml:space="preserve"> </w:t>
      </w:r>
      <w:r>
        <w:rPr>
          <w:rFonts w:ascii="Gill Sans MT" w:hAnsi="Gill Sans MT"/>
        </w:rPr>
        <w:t>Delivery agent</w:t>
      </w:r>
      <w:r w:rsidRPr="00120D9F">
        <w:rPr>
          <w:rFonts w:ascii="Gill Sans MT" w:hAnsi="Gill Sans MT"/>
        </w:rPr>
        <w:t xml:space="preserve"> to observe </w:t>
      </w:r>
      <w:r>
        <w:rPr>
          <w:rFonts w:ascii="Gill Sans MT" w:hAnsi="Gill Sans MT"/>
        </w:rPr>
        <w:t>ORT recipient</w:t>
      </w:r>
      <w:r w:rsidRPr="00120D9F">
        <w:rPr>
          <w:rFonts w:ascii="Gill Sans MT" w:hAnsi="Gill Sans MT"/>
        </w:rPr>
        <w:t xml:space="preserve"> swallow dose, </w:t>
      </w:r>
      <w:r>
        <w:rPr>
          <w:rFonts w:ascii="Gill Sans MT" w:hAnsi="Gill Sans MT"/>
        </w:rPr>
        <w:t>and then hold bottle upside down to demonstrate full dose has been taken.  Any takeaway doses must be taken inside by the ORT recipient.</w:t>
      </w:r>
    </w:p>
    <w:p w14:paraId="2A482226" w14:textId="15F4AEC1" w:rsidR="00F41D9E" w:rsidRDefault="00F41D9E" w:rsidP="00F41D9E">
      <w:pPr>
        <w:pStyle w:val="NoSpacing"/>
        <w:numPr>
          <w:ilvl w:val="1"/>
          <w:numId w:val="13"/>
        </w:numPr>
        <w:spacing w:before="60" w:after="60" w:line="276" w:lineRule="auto"/>
        <w:rPr>
          <w:rFonts w:ascii="Gill Sans MT" w:hAnsi="Gill Sans MT"/>
        </w:rPr>
      </w:pPr>
      <w:r>
        <w:rPr>
          <w:rFonts w:ascii="Gill Sans MT" w:hAnsi="Gill Sans MT"/>
        </w:rPr>
        <w:t xml:space="preserve">If there are any diversions from the above, the delivery agent must record details and notify the dispensing agent as soon as practical. The dispensing agent must notify ADS and prescriber as soon as practical. </w:t>
      </w:r>
    </w:p>
    <w:p w14:paraId="66E0E34D" w14:textId="772C6480" w:rsidR="00A84111" w:rsidRPr="00A84111" w:rsidRDefault="00A84111" w:rsidP="00A84111">
      <w:pPr>
        <w:pStyle w:val="ListParagraph"/>
        <w:spacing w:before="60" w:after="60"/>
        <w:contextualSpacing w:val="0"/>
        <w:rPr>
          <w:lang w:val="en-AU"/>
        </w:rPr>
      </w:pPr>
      <w:r w:rsidRPr="00FE348C">
        <w:rPr>
          <w:b/>
          <w:bCs/>
          <w:lang w:val="en-AU"/>
        </w:rPr>
        <w:t>NB</w:t>
      </w:r>
      <w:r>
        <w:rPr>
          <w:lang w:val="en-AU"/>
        </w:rPr>
        <w:t xml:space="preserve"> – Supervision ORT dosing has been temporarily relaxed, due </w:t>
      </w:r>
      <w:r w:rsidRPr="00E57394">
        <w:rPr>
          <w:lang w:val="en-AU"/>
        </w:rPr>
        <w:t>to the risks associated</w:t>
      </w:r>
      <w:r>
        <w:rPr>
          <w:lang w:val="en-AU"/>
        </w:rPr>
        <w:t xml:space="preserve"> with</w:t>
      </w:r>
      <w:r w:rsidRPr="00E57394">
        <w:rPr>
          <w:lang w:val="en-AU"/>
        </w:rPr>
        <w:t xml:space="preserve"> infectious disease pandemics or outbreaks</w:t>
      </w:r>
      <w:r>
        <w:rPr>
          <w:lang w:val="en-AU"/>
        </w:rPr>
        <w:t xml:space="preserve">. </w:t>
      </w:r>
    </w:p>
    <w:p w14:paraId="2B9FF589" w14:textId="50276128" w:rsidR="00A84111" w:rsidRPr="00A84111" w:rsidRDefault="007C5B2F" w:rsidP="00A84111">
      <w:pPr>
        <w:pStyle w:val="NoSpacing"/>
        <w:numPr>
          <w:ilvl w:val="0"/>
          <w:numId w:val="13"/>
        </w:numPr>
        <w:spacing w:before="60" w:after="60" w:line="276" w:lineRule="auto"/>
        <w:rPr>
          <w:rFonts w:ascii="Gill Sans MT" w:hAnsi="Gill Sans MT"/>
        </w:rPr>
      </w:pPr>
      <w:r>
        <w:rPr>
          <w:rFonts w:ascii="Gill Sans MT" w:hAnsi="Gill Sans MT"/>
        </w:rPr>
        <w:t>The medication recipient must record on the billing form that they have received their dose</w:t>
      </w:r>
      <w:r w:rsidR="00A84111">
        <w:rPr>
          <w:rFonts w:ascii="Gill Sans MT" w:hAnsi="Gill Sans MT"/>
        </w:rPr>
        <w:t>,</w:t>
      </w:r>
      <w:r w:rsidR="0037595D">
        <w:rPr>
          <w:rFonts w:ascii="Gill Sans MT" w:hAnsi="Gill Sans MT"/>
        </w:rPr>
        <w:t xml:space="preserve"> with both parties</w:t>
      </w:r>
      <w:r w:rsidR="00A84111">
        <w:rPr>
          <w:rFonts w:ascii="Gill Sans MT" w:hAnsi="Gill Sans MT"/>
        </w:rPr>
        <w:t xml:space="preserve"> ensuring </w:t>
      </w:r>
      <w:r>
        <w:rPr>
          <w:rFonts w:ascii="Gill Sans MT" w:hAnsi="Gill Sans MT"/>
        </w:rPr>
        <w:t xml:space="preserve">compliance with all relevant infectious disease protocols. </w:t>
      </w:r>
    </w:p>
    <w:p w14:paraId="7673DE76" w14:textId="46ABE465" w:rsidR="001206D1" w:rsidRDefault="00CA66FF" w:rsidP="004F0E1D">
      <w:pPr>
        <w:pStyle w:val="ListParagraph"/>
        <w:numPr>
          <w:ilvl w:val="0"/>
          <w:numId w:val="13"/>
        </w:numPr>
        <w:spacing w:before="60" w:after="60"/>
        <w:contextualSpacing w:val="0"/>
      </w:pPr>
      <w:r>
        <w:t xml:space="preserve">The delivery agent must then leave the property. </w:t>
      </w:r>
    </w:p>
    <w:p w14:paraId="0755FBBD" w14:textId="7EEDA129" w:rsidR="00FE5D5E" w:rsidRDefault="00FE5D5E" w:rsidP="00FE5D5E">
      <w:pPr>
        <w:spacing w:before="60" w:after="60"/>
      </w:pPr>
    </w:p>
    <w:p w14:paraId="3E45C13B" w14:textId="77777777" w:rsidR="00FE5D5E" w:rsidRDefault="00FE5D5E" w:rsidP="00FE5D5E">
      <w:pPr>
        <w:pStyle w:val="Heading3"/>
        <w:rPr>
          <w:lang w:val="en-AU"/>
        </w:rPr>
      </w:pPr>
      <w:r>
        <w:rPr>
          <w:lang w:val="en-AU"/>
        </w:rPr>
        <w:t>Considerations for all delivery settings:</w:t>
      </w:r>
    </w:p>
    <w:p w14:paraId="1512C6A2" w14:textId="77777777" w:rsidR="00FE5D5E" w:rsidRPr="006518A7" w:rsidRDefault="00FE5D5E" w:rsidP="00FE5D5E">
      <w:pPr>
        <w:pStyle w:val="ListParagraph"/>
        <w:numPr>
          <w:ilvl w:val="0"/>
          <w:numId w:val="16"/>
        </w:numPr>
        <w:spacing w:before="60" w:after="60"/>
        <w:rPr>
          <w:lang w:val="en-AU"/>
        </w:rPr>
      </w:pPr>
      <w:r w:rsidRPr="006518A7">
        <w:rPr>
          <w:lang w:val="en-AU"/>
        </w:rPr>
        <w:t xml:space="preserve">The dispensing and delivery agent(s) must ensure delivery times are consistent with the requirements for regular dosing in the TOPP Policy and Clinical Practice Standards. </w:t>
      </w:r>
    </w:p>
    <w:p w14:paraId="0C5AF24C" w14:textId="77777777" w:rsidR="00FE5D5E" w:rsidRPr="006518A7" w:rsidRDefault="00FE5D5E" w:rsidP="00FE5D5E">
      <w:pPr>
        <w:pStyle w:val="ListParagraph"/>
        <w:numPr>
          <w:ilvl w:val="0"/>
          <w:numId w:val="16"/>
        </w:numPr>
        <w:spacing w:before="60" w:after="60"/>
        <w:rPr>
          <w:lang w:val="en-AU"/>
        </w:rPr>
      </w:pPr>
      <w:r w:rsidRPr="006518A7">
        <w:rPr>
          <w:lang w:val="en-AU"/>
        </w:rPr>
        <w:t xml:space="preserve">If delivery is delayed for any reason, the dispensing and/or delivery agent must contact the person receiving ORT delivery as soon as possible. </w:t>
      </w:r>
    </w:p>
    <w:p w14:paraId="4E3EC3B3" w14:textId="11C70BC8" w:rsidR="006C26E1" w:rsidRPr="006C26E1" w:rsidRDefault="006C26E1" w:rsidP="006C26E1">
      <w:pPr>
        <w:pStyle w:val="ListParagraph"/>
        <w:numPr>
          <w:ilvl w:val="0"/>
          <w:numId w:val="16"/>
        </w:numPr>
        <w:spacing w:before="60" w:after="60"/>
      </w:pPr>
      <w:r>
        <w:rPr>
          <w:lang w:val="en-AU"/>
        </w:rPr>
        <w:lastRenderedPageBreak/>
        <w:t xml:space="preserve">If there is any reason that dosing cannot be observed, the delivery agent must communicate this as soon as possible to the dispensing agent, who must </w:t>
      </w:r>
      <w:r w:rsidR="00E05D76">
        <w:rPr>
          <w:lang w:val="en-AU"/>
        </w:rPr>
        <w:t xml:space="preserve">communicate this to the prescriber. </w:t>
      </w:r>
    </w:p>
    <w:p w14:paraId="180DFEFD" w14:textId="0BFCD9CF" w:rsidR="00FE5D5E" w:rsidRDefault="00FE5D5E" w:rsidP="00FE5D5E">
      <w:pPr>
        <w:pStyle w:val="ListParagraph"/>
        <w:numPr>
          <w:ilvl w:val="0"/>
          <w:numId w:val="16"/>
        </w:numPr>
        <w:spacing w:before="60" w:after="60"/>
        <w:rPr>
          <w:lang w:val="en-AU"/>
        </w:rPr>
      </w:pPr>
      <w:r w:rsidRPr="006518A7">
        <w:rPr>
          <w:lang w:val="en-AU"/>
        </w:rPr>
        <w:t xml:space="preserve">If delivery is prevented for any reason, the </w:t>
      </w:r>
      <w:r>
        <w:t>delivery agent must contact the dispensing agent as soon as practical. The delivery agent must return the medication to the pharmacy, and the dispensing agent must ensure relevant records are kept regarding return of the medication. The dispensing agent must communicate non</w:t>
      </w:r>
      <w:r>
        <w:noBreakHyphen/>
        <w:t xml:space="preserve">delivery or dosing to </w:t>
      </w:r>
      <w:r w:rsidR="0055427D">
        <w:t xml:space="preserve">the prescriber </w:t>
      </w:r>
      <w:r>
        <w:t xml:space="preserve">as soon as possible. </w:t>
      </w:r>
      <w:r w:rsidRPr="006518A7">
        <w:rPr>
          <w:lang w:val="en-AU"/>
        </w:rPr>
        <w:t xml:space="preserve">In this event, </w:t>
      </w:r>
      <w:r w:rsidR="0055427D">
        <w:rPr>
          <w:lang w:val="en-AU"/>
        </w:rPr>
        <w:t>the prescriber</w:t>
      </w:r>
      <w:r w:rsidR="0055427D" w:rsidRPr="006518A7">
        <w:rPr>
          <w:lang w:val="en-AU"/>
        </w:rPr>
        <w:t xml:space="preserve"> </w:t>
      </w:r>
      <w:r w:rsidRPr="006518A7">
        <w:rPr>
          <w:lang w:val="en-AU"/>
        </w:rPr>
        <w:t xml:space="preserve">will liaise with all parties required to ensure continuity of care. </w:t>
      </w:r>
    </w:p>
    <w:p w14:paraId="3D571036" w14:textId="720E8ECC" w:rsidR="00FE5D5E" w:rsidRPr="00076EF2" w:rsidRDefault="00FE5D5E" w:rsidP="00FE5D5E">
      <w:pPr>
        <w:pStyle w:val="ListParagraph"/>
        <w:numPr>
          <w:ilvl w:val="0"/>
          <w:numId w:val="17"/>
        </w:numPr>
        <w:spacing w:before="60" w:after="60"/>
      </w:pPr>
      <w:r w:rsidRPr="00CD5001">
        <w:t xml:space="preserve">If the </w:t>
      </w:r>
      <w:r>
        <w:t>person receiving ORT</w:t>
      </w:r>
      <w:r w:rsidRPr="00CD5001">
        <w:t xml:space="preserve"> is not provided with their dose on or around the time agreed, </w:t>
      </w:r>
      <w:r>
        <w:t xml:space="preserve">the person receiving ORT </w:t>
      </w:r>
      <w:r w:rsidRPr="00CD5001">
        <w:t xml:space="preserve">must communicate with the </w:t>
      </w:r>
      <w:r w:rsidR="0055427D">
        <w:t>prescriber</w:t>
      </w:r>
      <w:r w:rsidRPr="00CD5001">
        <w:t xml:space="preserve">, who will </w:t>
      </w:r>
      <w:r w:rsidRPr="006518A7">
        <w:rPr>
          <w:lang w:val="en-AU"/>
        </w:rPr>
        <w:t>liaise with all parties required to ensure continuity of care.</w:t>
      </w:r>
    </w:p>
    <w:p w14:paraId="33890E8A" w14:textId="5DA5C60A" w:rsidR="00076EF2" w:rsidRPr="00CD5001" w:rsidRDefault="00076EF2" w:rsidP="00FE5D5E">
      <w:pPr>
        <w:pStyle w:val="ListParagraph"/>
        <w:numPr>
          <w:ilvl w:val="0"/>
          <w:numId w:val="17"/>
        </w:numPr>
        <w:spacing w:before="60" w:after="60"/>
      </w:pPr>
      <w:r>
        <w:rPr>
          <w:lang w:val="en-AU"/>
        </w:rPr>
        <w:t xml:space="preserve">If there are any concerns about </w:t>
      </w:r>
      <w:r w:rsidR="00493A29">
        <w:rPr>
          <w:lang w:val="en-AU"/>
        </w:rPr>
        <w:t>public health or infectious disease matters (for example, quarantine breaches)</w:t>
      </w:r>
      <w:r>
        <w:rPr>
          <w:lang w:val="en-AU"/>
        </w:rPr>
        <w:t>, the delivery agent should communicate with the Public Health</w:t>
      </w:r>
      <w:r w:rsidR="00493A29">
        <w:rPr>
          <w:lang w:val="en-AU"/>
        </w:rPr>
        <w:t xml:space="preserve"> Hotline as soon as practical. In the instance of State</w:t>
      </w:r>
      <w:r w:rsidR="00493A29">
        <w:rPr>
          <w:lang w:val="en-AU"/>
        </w:rPr>
        <w:noBreakHyphen/>
        <w:t xml:space="preserve">run quarantine, the delivery agent should also notify the facility as soon as practical. </w:t>
      </w:r>
    </w:p>
    <w:p w14:paraId="3BE43119" w14:textId="0781E8C1" w:rsidR="00FE5D5E" w:rsidRDefault="00FE5D5E" w:rsidP="00B34A86">
      <w:pPr>
        <w:rPr>
          <w:lang w:val="en-AU"/>
        </w:rPr>
      </w:pPr>
    </w:p>
    <w:p w14:paraId="1DCAE0EC" w14:textId="0B23890A" w:rsidR="00F60C27" w:rsidRDefault="00F60C27" w:rsidP="00B34A86">
      <w:pPr>
        <w:rPr>
          <w:lang w:val="en-AU"/>
        </w:rPr>
      </w:pPr>
    </w:p>
    <w:p w14:paraId="6D4D0D29" w14:textId="600AEDE4" w:rsidR="00F60C27" w:rsidRDefault="00F60C27" w:rsidP="00B34A86">
      <w:pPr>
        <w:rPr>
          <w:lang w:val="en-AU"/>
        </w:rPr>
      </w:pPr>
      <w:r>
        <w:rPr>
          <w:lang w:val="en-AU"/>
        </w:rPr>
        <w:t>Contact: Mental Health, Alcohol and Drug Directorate</w:t>
      </w:r>
    </w:p>
    <w:p w14:paraId="1E553725" w14:textId="33624FD7" w:rsidR="00096174" w:rsidRDefault="00096174" w:rsidP="00B34A86">
      <w:pPr>
        <w:rPr>
          <w:lang w:val="en-AU"/>
        </w:rPr>
      </w:pPr>
      <w:r>
        <w:rPr>
          <w:lang w:val="en-AU"/>
        </w:rPr>
        <w:t>Phone: (03) 6166 0774</w:t>
      </w:r>
    </w:p>
    <w:p w14:paraId="5D9DB116" w14:textId="132A6871" w:rsidR="00096174" w:rsidRDefault="00096174" w:rsidP="00B34A86">
      <w:pPr>
        <w:rPr>
          <w:lang w:val="en-AU"/>
        </w:rPr>
      </w:pPr>
      <w:r>
        <w:rPr>
          <w:lang w:val="en-AU"/>
        </w:rPr>
        <w:t>Email: director.mhadd@health.tas.gov.au</w:t>
      </w:r>
    </w:p>
    <w:sectPr w:rsidR="00096174">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243B0" w14:textId="77777777" w:rsidR="00746E0B" w:rsidRDefault="00746E0B" w:rsidP="00B12544">
      <w:pPr>
        <w:spacing w:after="0" w:line="240" w:lineRule="auto"/>
      </w:pPr>
      <w:r>
        <w:separator/>
      </w:r>
    </w:p>
  </w:endnote>
  <w:endnote w:type="continuationSeparator" w:id="0">
    <w:p w14:paraId="7C687489" w14:textId="77777777" w:rsidR="00746E0B" w:rsidRDefault="00746E0B" w:rsidP="00B1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0063" w14:textId="77777777" w:rsidR="00F62EFC" w:rsidRDefault="00F6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743F" w14:textId="77777777" w:rsidR="00F62EFC" w:rsidRDefault="00F62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956B" w14:textId="77777777" w:rsidR="00F62EFC" w:rsidRDefault="00F6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5C65C" w14:textId="77777777" w:rsidR="00746E0B" w:rsidRDefault="00746E0B" w:rsidP="00B12544">
      <w:pPr>
        <w:spacing w:after="0" w:line="240" w:lineRule="auto"/>
      </w:pPr>
      <w:r>
        <w:separator/>
      </w:r>
    </w:p>
  </w:footnote>
  <w:footnote w:type="continuationSeparator" w:id="0">
    <w:p w14:paraId="2F991622" w14:textId="77777777" w:rsidR="00746E0B" w:rsidRDefault="00746E0B" w:rsidP="00B1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293C" w14:textId="77777777" w:rsidR="00F62EFC" w:rsidRDefault="00F6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3801" w14:textId="2908D291" w:rsidR="00F62EFC" w:rsidRDefault="00F62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928D" w14:textId="77777777" w:rsidR="00F62EFC" w:rsidRDefault="00F62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A00"/>
    <w:multiLevelType w:val="hybridMultilevel"/>
    <w:tmpl w:val="309420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20E8E"/>
    <w:multiLevelType w:val="hybridMultilevel"/>
    <w:tmpl w:val="8B908534"/>
    <w:lvl w:ilvl="0" w:tplc="C4348F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1D122B"/>
    <w:multiLevelType w:val="hybridMultilevel"/>
    <w:tmpl w:val="7C5666FE"/>
    <w:lvl w:ilvl="0" w:tplc="509840E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D8369AF"/>
    <w:multiLevelType w:val="hybridMultilevel"/>
    <w:tmpl w:val="7F1E31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EA74F0"/>
    <w:multiLevelType w:val="hybridMultilevel"/>
    <w:tmpl w:val="459CEA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2F68C4"/>
    <w:multiLevelType w:val="hybridMultilevel"/>
    <w:tmpl w:val="FAFC597E"/>
    <w:lvl w:ilvl="0" w:tplc="509840E2">
      <w:start w:val="1"/>
      <w:numFmt w:val="decimal"/>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0E77FA"/>
    <w:multiLevelType w:val="hybridMultilevel"/>
    <w:tmpl w:val="0C3C987C"/>
    <w:lvl w:ilvl="0" w:tplc="0C09000F">
      <w:start w:val="1"/>
      <w:numFmt w:val="decimal"/>
      <w:lvlText w:val="%1."/>
      <w:lvlJc w:val="left"/>
      <w:pPr>
        <w:ind w:left="720" w:hanging="360"/>
      </w:pPr>
      <w:rPr>
        <w:rFonts w:hint="default"/>
      </w:rPr>
    </w:lvl>
    <w:lvl w:ilvl="1" w:tplc="6388B4EC">
      <w:start w:val="1"/>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421341"/>
    <w:multiLevelType w:val="hybridMultilevel"/>
    <w:tmpl w:val="B3B4AD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C5AEE"/>
    <w:multiLevelType w:val="hybridMultilevel"/>
    <w:tmpl w:val="DA188022"/>
    <w:lvl w:ilvl="0" w:tplc="86D0474E">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C2767A"/>
    <w:multiLevelType w:val="hybridMultilevel"/>
    <w:tmpl w:val="1DC692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AA69E8"/>
    <w:multiLevelType w:val="hybridMultilevel"/>
    <w:tmpl w:val="F9F25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357D2"/>
    <w:multiLevelType w:val="hybridMultilevel"/>
    <w:tmpl w:val="CC74F30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44C7CDA"/>
    <w:multiLevelType w:val="hybridMultilevel"/>
    <w:tmpl w:val="FD428A86"/>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69110142"/>
    <w:multiLevelType w:val="hybridMultilevel"/>
    <w:tmpl w:val="40CAF7AC"/>
    <w:lvl w:ilvl="0" w:tplc="4B0C74E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C030C52"/>
    <w:multiLevelType w:val="hybridMultilevel"/>
    <w:tmpl w:val="A81CB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C04EF"/>
    <w:multiLevelType w:val="hybridMultilevel"/>
    <w:tmpl w:val="55A63D1A"/>
    <w:lvl w:ilvl="0" w:tplc="6388B4EC">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0612F"/>
    <w:multiLevelType w:val="hybridMultilevel"/>
    <w:tmpl w:val="BC2C8B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654FDB"/>
    <w:multiLevelType w:val="hybridMultilevel"/>
    <w:tmpl w:val="7144BE1A"/>
    <w:lvl w:ilvl="0" w:tplc="86D047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4"/>
  </w:num>
  <w:num w:numId="5">
    <w:abstractNumId w:val="2"/>
  </w:num>
  <w:num w:numId="6">
    <w:abstractNumId w:val="5"/>
  </w:num>
  <w:num w:numId="7">
    <w:abstractNumId w:val="6"/>
  </w:num>
  <w:num w:numId="8">
    <w:abstractNumId w:val="15"/>
  </w:num>
  <w:num w:numId="9">
    <w:abstractNumId w:val="1"/>
  </w:num>
  <w:num w:numId="10">
    <w:abstractNumId w:val="16"/>
  </w:num>
  <w:num w:numId="11">
    <w:abstractNumId w:val="12"/>
  </w:num>
  <w:num w:numId="12">
    <w:abstractNumId w:val="3"/>
  </w:num>
  <w:num w:numId="13">
    <w:abstractNumId w:val="9"/>
  </w:num>
  <w:num w:numId="14">
    <w:abstractNumId w:val="14"/>
  </w:num>
  <w:num w:numId="15">
    <w:abstractNumId w:val="17"/>
  </w:num>
  <w:num w:numId="16">
    <w:abstractNumId w:val="10"/>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jKXO4VGEsSoDvrPrHGgBAZNGnKCcLTQKYPyCaTmHV4gTlSdDYwrQ2CeofrmjaM99Sc/iIDWFF19gzdaE6A1mQ==" w:salt="mmtL+phm9H3euDBCWuSmk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82"/>
    <w:rsid w:val="00013E89"/>
    <w:rsid w:val="00015E42"/>
    <w:rsid w:val="00016885"/>
    <w:rsid w:val="000179F7"/>
    <w:rsid w:val="000200C3"/>
    <w:rsid w:val="00021DB6"/>
    <w:rsid w:val="0002317E"/>
    <w:rsid w:val="00025044"/>
    <w:rsid w:val="0003287B"/>
    <w:rsid w:val="00041B0E"/>
    <w:rsid w:val="0004282E"/>
    <w:rsid w:val="00043AE2"/>
    <w:rsid w:val="000452B0"/>
    <w:rsid w:val="00047D60"/>
    <w:rsid w:val="00051458"/>
    <w:rsid w:val="00051573"/>
    <w:rsid w:val="00053BFF"/>
    <w:rsid w:val="00054DB9"/>
    <w:rsid w:val="00056D7D"/>
    <w:rsid w:val="00065532"/>
    <w:rsid w:val="00066D80"/>
    <w:rsid w:val="00071C36"/>
    <w:rsid w:val="00072BCF"/>
    <w:rsid w:val="000754E5"/>
    <w:rsid w:val="00076EF2"/>
    <w:rsid w:val="00081790"/>
    <w:rsid w:val="0008234F"/>
    <w:rsid w:val="00096174"/>
    <w:rsid w:val="000A37DD"/>
    <w:rsid w:val="000A4758"/>
    <w:rsid w:val="000A5529"/>
    <w:rsid w:val="000B222A"/>
    <w:rsid w:val="000B4036"/>
    <w:rsid w:val="000B4252"/>
    <w:rsid w:val="000B72E3"/>
    <w:rsid w:val="000C26AB"/>
    <w:rsid w:val="000C61D7"/>
    <w:rsid w:val="000D134B"/>
    <w:rsid w:val="000D2D87"/>
    <w:rsid w:val="000D48BC"/>
    <w:rsid w:val="000D6D3F"/>
    <w:rsid w:val="000E03F7"/>
    <w:rsid w:val="000E4175"/>
    <w:rsid w:val="000E5EFF"/>
    <w:rsid w:val="000E644D"/>
    <w:rsid w:val="000F0062"/>
    <w:rsid w:val="000F1523"/>
    <w:rsid w:val="000F1801"/>
    <w:rsid w:val="000F3A28"/>
    <w:rsid w:val="001114B5"/>
    <w:rsid w:val="001114CD"/>
    <w:rsid w:val="00115DBA"/>
    <w:rsid w:val="0012003B"/>
    <w:rsid w:val="001206D1"/>
    <w:rsid w:val="0012141E"/>
    <w:rsid w:val="00125570"/>
    <w:rsid w:val="00133F18"/>
    <w:rsid w:val="00136A29"/>
    <w:rsid w:val="0014792E"/>
    <w:rsid w:val="001554FD"/>
    <w:rsid w:val="00163E64"/>
    <w:rsid w:val="00167C77"/>
    <w:rsid w:val="00167D5F"/>
    <w:rsid w:val="00177814"/>
    <w:rsid w:val="00183C2D"/>
    <w:rsid w:val="001843F3"/>
    <w:rsid w:val="00190DD6"/>
    <w:rsid w:val="00192E0A"/>
    <w:rsid w:val="0019395B"/>
    <w:rsid w:val="00193A16"/>
    <w:rsid w:val="00195A2D"/>
    <w:rsid w:val="001A65F7"/>
    <w:rsid w:val="001A6B37"/>
    <w:rsid w:val="001B2063"/>
    <w:rsid w:val="001B2845"/>
    <w:rsid w:val="001B4621"/>
    <w:rsid w:val="001B6818"/>
    <w:rsid w:val="001C659F"/>
    <w:rsid w:val="001D1FB9"/>
    <w:rsid w:val="001D41C9"/>
    <w:rsid w:val="001D7332"/>
    <w:rsid w:val="001D7AD3"/>
    <w:rsid w:val="001E0242"/>
    <w:rsid w:val="001F5E5B"/>
    <w:rsid w:val="002034F1"/>
    <w:rsid w:val="00204CD5"/>
    <w:rsid w:val="0020523A"/>
    <w:rsid w:val="002102DD"/>
    <w:rsid w:val="00214320"/>
    <w:rsid w:val="00216820"/>
    <w:rsid w:val="00220A27"/>
    <w:rsid w:val="00225490"/>
    <w:rsid w:val="00234807"/>
    <w:rsid w:val="00234FFA"/>
    <w:rsid w:val="00235BF1"/>
    <w:rsid w:val="00237E4F"/>
    <w:rsid w:val="00243232"/>
    <w:rsid w:val="00244E02"/>
    <w:rsid w:val="00244FB1"/>
    <w:rsid w:val="00247FB7"/>
    <w:rsid w:val="00254D77"/>
    <w:rsid w:val="002570FC"/>
    <w:rsid w:val="00264E76"/>
    <w:rsid w:val="00267B74"/>
    <w:rsid w:val="002876A3"/>
    <w:rsid w:val="00291E3C"/>
    <w:rsid w:val="00294B64"/>
    <w:rsid w:val="002966AB"/>
    <w:rsid w:val="00296A8A"/>
    <w:rsid w:val="002A00D9"/>
    <w:rsid w:val="002A4278"/>
    <w:rsid w:val="002A753C"/>
    <w:rsid w:val="002A7B36"/>
    <w:rsid w:val="002B0148"/>
    <w:rsid w:val="002B0BA8"/>
    <w:rsid w:val="002B0F85"/>
    <w:rsid w:val="002B4AAB"/>
    <w:rsid w:val="002B67F9"/>
    <w:rsid w:val="002B72ED"/>
    <w:rsid w:val="002C38AF"/>
    <w:rsid w:val="002C745A"/>
    <w:rsid w:val="002C7BA5"/>
    <w:rsid w:val="002D13B2"/>
    <w:rsid w:val="002D17C8"/>
    <w:rsid w:val="002D64BC"/>
    <w:rsid w:val="002D6841"/>
    <w:rsid w:val="002E49C4"/>
    <w:rsid w:val="0030171E"/>
    <w:rsid w:val="003059AD"/>
    <w:rsid w:val="00306CEF"/>
    <w:rsid w:val="0031051A"/>
    <w:rsid w:val="00311CC1"/>
    <w:rsid w:val="00321E9A"/>
    <w:rsid w:val="003261CD"/>
    <w:rsid w:val="00327D89"/>
    <w:rsid w:val="003316CC"/>
    <w:rsid w:val="00335670"/>
    <w:rsid w:val="00337920"/>
    <w:rsid w:val="00340776"/>
    <w:rsid w:val="00351866"/>
    <w:rsid w:val="0035411D"/>
    <w:rsid w:val="00354943"/>
    <w:rsid w:val="00363ECF"/>
    <w:rsid w:val="0036595C"/>
    <w:rsid w:val="0036666B"/>
    <w:rsid w:val="0037595D"/>
    <w:rsid w:val="00377F2A"/>
    <w:rsid w:val="00380067"/>
    <w:rsid w:val="003824FC"/>
    <w:rsid w:val="00382667"/>
    <w:rsid w:val="0038269B"/>
    <w:rsid w:val="00383E27"/>
    <w:rsid w:val="00384C4A"/>
    <w:rsid w:val="00396A17"/>
    <w:rsid w:val="00397E6F"/>
    <w:rsid w:val="003A20C1"/>
    <w:rsid w:val="003A3E30"/>
    <w:rsid w:val="003A54EF"/>
    <w:rsid w:val="003A6F60"/>
    <w:rsid w:val="003B2475"/>
    <w:rsid w:val="003B268E"/>
    <w:rsid w:val="003B419C"/>
    <w:rsid w:val="003D34DF"/>
    <w:rsid w:val="003E03CF"/>
    <w:rsid w:val="003E5C8B"/>
    <w:rsid w:val="003E6820"/>
    <w:rsid w:val="003F37DA"/>
    <w:rsid w:val="00410352"/>
    <w:rsid w:val="00410A6E"/>
    <w:rsid w:val="00431D45"/>
    <w:rsid w:val="00434FDB"/>
    <w:rsid w:val="00436D4E"/>
    <w:rsid w:val="0044497F"/>
    <w:rsid w:val="004546EE"/>
    <w:rsid w:val="00455EFC"/>
    <w:rsid w:val="004563E4"/>
    <w:rsid w:val="00460F5F"/>
    <w:rsid w:val="0046244B"/>
    <w:rsid w:val="00464BF1"/>
    <w:rsid w:val="004656AE"/>
    <w:rsid w:val="00467C2F"/>
    <w:rsid w:val="004737DA"/>
    <w:rsid w:val="00473A3B"/>
    <w:rsid w:val="00476159"/>
    <w:rsid w:val="00477652"/>
    <w:rsid w:val="004807B2"/>
    <w:rsid w:val="00481149"/>
    <w:rsid w:val="00481772"/>
    <w:rsid w:val="004843A1"/>
    <w:rsid w:val="00485198"/>
    <w:rsid w:val="00486E68"/>
    <w:rsid w:val="0048708B"/>
    <w:rsid w:val="004875CF"/>
    <w:rsid w:val="00490882"/>
    <w:rsid w:val="00492A60"/>
    <w:rsid w:val="0049327B"/>
    <w:rsid w:val="00493447"/>
    <w:rsid w:val="00493A29"/>
    <w:rsid w:val="004A0EE7"/>
    <w:rsid w:val="004A3497"/>
    <w:rsid w:val="004A3802"/>
    <w:rsid w:val="004A766B"/>
    <w:rsid w:val="004B0767"/>
    <w:rsid w:val="004B136E"/>
    <w:rsid w:val="004B5E30"/>
    <w:rsid w:val="004B68F9"/>
    <w:rsid w:val="004C1D72"/>
    <w:rsid w:val="004C4C27"/>
    <w:rsid w:val="004C4ED6"/>
    <w:rsid w:val="004C779D"/>
    <w:rsid w:val="004C780A"/>
    <w:rsid w:val="004C784A"/>
    <w:rsid w:val="004D1D33"/>
    <w:rsid w:val="004D3EC9"/>
    <w:rsid w:val="004D3FD8"/>
    <w:rsid w:val="004E0FC6"/>
    <w:rsid w:val="004E31AB"/>
    <w:rsid w:val="004E3E48"/>
    <w:rsid w:val="004F0E1D"/>
    <w:rsid w:val="004F1A0A"/>
    <w:rsid w:val="004F5EBB"/>
    <w:rsid w:val="004F76C6"/>
    <w:rsid w:val="00500A75"/>
    <w:rsid w:val="00510C62"/>
    <w:rsid w:val="0051136B"/>
    <w:rsid w:val="00516EAD"/>
    <w:rsid w:val="0051751F"/>
    <w:rsid w:val="00521AF5"/>
    <w:rsid w:val="00525684"/>
    <w:rsid w:val="00531A9C"/>
    <w:rsid w:val="00547015"/>
    <w:rsid w:val="00547B92"/>
    <w:rsid w:val="00552659"/>
    <w:rsid w:val="0055427D"/>
    <w:rsid w:val="005557A3"/>
    <w:rsid w:val="005600A7"/>
    <w:rsid w:val="00563397"/>
    <w:rsid w:val="00573C7C"/>
    <w:rsid w:val="00576D41"/>
    <w:rsid w:val="005852F0"/>
    <w:rsid w:val="00590F7C"/>
    <w:rsid w:val="005A0E4E"/>
    <w:rsid w:val="005A5585"/>
    <w:rsid w:val="005B1119"/>
    <w:rsid w:val="005B13C2"/>
    <w:rsid w:val="005B2930"/>
    <w:rsid w:val="005B51EF"/>
    <w:rsid w:val="005B757B"/>
    <w:rsid w:val="005C57CB"/>
    <w:rsid w:val="005D0D39"/>
    <w:rsid w:val="005D0E91"/>
    <w:rsid w:val="005D561F"/>
    <w:rsid w:val="005E0732"/>
    <w:rsid w:val="005E19A1"/>
    <w:rsid w:val="005E1D29"/>
    <w:rsid w:val="005E253A"/>
    <w:rsid w:val="005E275B"/>
    <w:rsid w:val="005E2DD3"/>
    <w:rsid w:val="005E2FB9"/>
    <w:rsid w:val="005F272F"/>
    <w:rsid w:val="005F37D9"/>
    <w:rsid w:val="00601709"/>
    <w:rsid w:val="006032E3"/>
    <w:rsid w:val="00603DCC"/>
    <w:rsid w:val="006049D0"/>
    <w:rsid w:val="0061533E"/>
    <w:rsid w:val="00617510"/>
    <w:rsid w:val="00620258"/>
    <w:rsid w:val="006305A2"/>
    <w:rsid w:val="00637CF1"/>
    <w:rsid w:val="00640EFF"/>
    <w:rsid w:val="00641280"/>
    <w:rsid w:val="00645CA6"/>
    <w:rsid w:val="0065033E"/>
    <w:rsid w:val="006518A7"/>
    <w:rsid w:val="00653199"/>
    <w:rsid w:val="00656937"/>
    <w:rsid w:val="00661BC1"/>
    <w:rsid w:val="00664384"/>
    <w:rsid w:val="00672128"/>
    <w:rsid w:val="00672323"/>
    <w:rsid w:val="00674089"/>
    <w:rsid w:val="00674538"/>
    <w:rsid w:val="006826EA"/>
    <w:rsid w:val="00690241"/>
    <w:rsid w:val="00690A9C"/>
    <w:rsid w:val="0069404E"/>
    <w:rsid w:val="006969EF"/>
    <w:rsid w:val="006A0B3C"/>
    <w:rsid w:val="006A3958"/>
    <w:rsid w:val="006A48CD"/>
    <w:rsid w:val="006B43B9"/>
    <w:rsid w:val="006B6D04"/>
    <w:rsid w:val="006C26E1"/>
    <w:rsid w:val="006D2F0D"/>
    <w:rsid w:val="006D48DB"/>
    <w:rsid w:val="006E5E28"/>
    <w:rsid w:val="006E63D7"/>
    <w:rsid w:val="006F1F39"/>
    <w:rsid w:val="006F32FC"/>
    <w:rsid w:val="006F5A42"/>
    <w:rsid w:val="006F5F37"/>
    <w:rsid w:val="007055BE"/>
    <w:rsid w:val="007130F2"/>
    <w:rsid w:val="00713532"/>
    <w:rsid w:val="00713933"/>
    <w:rsid w:val="00715519"/>
    <w:rsid w:val="00715D0D"/>
    <w:rsid w:val="007261C9"/>
    <w:rsid w:val="00727247"/>
    <w:rsid w:val="007309CF"/>
    <w:rsid w:val="007318E7"/>
    <w:rsid w:val="00734DCB"/>
    <w:rsid w:val="007372CC"/>
    <w:rsid w:val="0073764E"/>
    <w:rsid w:val="00746E0B"/>
    <w:rsid w:val="00757722"/>
    <w:rsid w:val="00761494"/>
    <w:rsid w:val="00765FF0"/>
    <w:rsid w:val="007672F8"/>
    <w:rsid w:val="007709F5"/>
    <w:rsid w:val="00770CF3"/>
    <w:rsid w:val="00770E5C"/>
    <w:rsid w:val="00774426"/>
    <w:rsid w:val="00775EE2"/>
    <w:rsid w:val="00780598"/>
    <w:rsid w:val="00781EAF"/>
    <w:rsid w:val="007830AA"/>
    <w:rsid w:val="00784499"/>
    <w:rsid w:val="007973DA"/>
    <w:rsid w:val="007A2182"/>
    <w:rsid w:val="007A42EC"/>
    <w:rsid w:val="007A6461"/>
    <w:rsid w:val="007C106C"/>
    <w:rsid w:val="007C380E"/>
    <w:rsid w:val="007C5B2F"/>
    <w:rsid w:val="007C7105"/>
    <w:rsid w:val="007C79E6"/>
    <w:rsid w:val="007D03D0"/>
    <w:rsid w:val="007D3372"/>
    <w:rsid w:val="007D62EE"/>
    <w:rsid w:val="007D648D"/>
    <w:rsid w:val="007E08C6"/>
    <w:rsid w:val="007E4A17"/>
    <w:rsid w:val="007E603B"/>
    <w:rsid w:val="007E6C79"/>
    <w:rsid w:val="007F2661"/>
    <w:rsid w:val="007F2DC6"/>
    <w:rsid w:val="007F4065"/>
    <w:rsid w:val="007F498A"/>
    <w:rsid w:val="007F569F"/>
    <w:rsid w:val="00801D20"/>
    <w:rsid w:val="0080502D"/>
    <w:rsid w:val="00816A52"/>
    <w:rsid w:val="00817951"/>
    <w:rsid w:val="008227A5"/>
    <w:rsid w:val="00825E1D"/>
    <w:rsid w:val="00826F48"/>
    <w:rsid w:val="00832435"/>
    <w:rsid w:val="00832BB9"/>
    <w:rsid w:val="0084109A"/>
    <w:rsid w:val="00847CCB"/>
    <w:rsid w:val="0085455E"/>
    <w:rsid w:val="0085782B"/>
    <w:rsid w:val="008728CD"/>
    <w:rsid w:val="00880F77"/>
    <w:rsid w:val="00883B90"/>
    <w:rsid w:val="008930A8"/>
    <w:rsid w:val="008957C7"/>
    <w:rsid w:val="008A0632"/>
    <w:rsid w:val="008A0BC6"/>
    <w:rsid w:val="008A36EF"/>
    <w:rsid w:val="008A382F"/>
    <w:rsid w:val="008A5612"/>
    <w:rsid w:val="008A7FF1"/>
    <w:rsid w:val="008B4637"/>
    <w:rsid w:val="008C123D"/>
    <w:rsid w:val="008C3B46"/>
    <w:rsid w:val="008C3C25"/>
    <w:rsid w:val="008D0BED"/>
    <w:rsid w:val="008D72F0"/>
    <w:rsid w:val="008E627A"/>
    <w:rsid w:val="008E78D6"/>
    <w:rsid w:val="008F4CFC"/>
    <w:rsid w:val="008F7969"/>
    <w:rsid w:val="00906E6E"/>
    <w:rsid w:val="00907DD7"/>
    <w:rsid w:val="00912E92"/>
    <w:rsid w:val="0091623B"/>
    <w:rsid w:val="00921D1F"/>
    <w:rsid w:val="00925E36"/>
    <w:rsid w:val="00926E30"/>
    <w:rsid w:val="00947F0A"/>
    <w:rsid w:val="00950286"/>
    <w:rsid w:val="00951460"/>
    <w:rsid w:val="00962FFE"/>
    <w:rsid w:val="00963E30"/>
    <w:rsid w:val="009709FA"/>
    <w:rsid w:val="00973360"/>
    <w:rsid w:val="00973E54"/>
    <w:rsid w:val="00973F53"/>
    <w:rsid w:val="00981CD9"/>
    <w:rsid w:val="009837F1"/>
    <w:rsid w:val="00984658"/>
    <w:rsid w:val="00984F7C"/>
    <w:rsid w:val="0099379D"/>
    <w:rsid w:val="00996731"/>
    <w:rsid w:val="009A48A2"/>
    <w:rsid w:val="009A4AA2"/>
    <w:rsid w:val="009A6665"/>
    <w:rsid w:val="009B3A19"/>
    <w:rsid w:val="009B6F68"/>
    <w:rsid w:val="009C5B27"/>
    <w:rsid w:val="009D12FD"/>
    <w:rsid w:val="009D3281"/>
    <w:rsid w:val="009D4777"/>
    <w:rsid w:val="009D4F57"/>
    <w:rsid w:val="009F2F5D"/>
    <w:rsid w:val="009F46C2"/>
    <w:rsid w:val="009F5908"/>
    <w:rsid w:val="009F6536"/>
    <w:rsid w:val="00A01D81"/>
    <w:rsid w:val="00A03CD3"/>
    <w:rsid w:val="00A07769"/>
    <w:rsid w:val="00A150E4"/>
    <w:rsid w:val="00A21DD3"/>
    <w:rsid w:val="00A2628D"/>
    <w:rsid w:val="00A405F7"/>
    <w:rsid w:val="00A4414D"/>
    <w:rsid w:val="00A45B58"/>
    <w:rsid w:val="00A47809"/>
    <w:rsid w:val="00A541E4"/>
    <w:rsid w:val="00A61A5E"/>
    <w:rsid w:val="00A66618"/>
    <w:rsid w:val="00A72CF6"/>
    <w:rsid w:val="00A7405E"/>
    <w:rsid w:val="00A76190"/>
    <w:rsid w:val="00A76DF4"/>
    <w:rsid w:val="00A81F89"/>
    <w:rsid w:val="00A835BB"/>
    <w:rsid w:val="00A84111"/>
    <w:rsid w:val="00A872A3"/>
    <w:rsid w:val="00A87637"/>
    <w:rsid w:val="00AA0884"/>
    <w:rsid w:val="00AA4D8B"/>
    <w:rsid w:val="00AA5397"/>
    <w:rsid w:val="00AA6248"/>
    <w:rsid w:val="00AC3045"/>
    <w:rsid w:val="00AD3091"/>
    <w:rsid w:val="00AD5471"/>
    <w:rsid w:val="00AD7D81"/>
    <w:rsid w:val="00AE12D2"/>
    <w:rsid w:val="00AE4024"/>
    <w:rsid w:val="00AE57BF"/>
    <w:rsid w:val="00AE5DD7"/>
    <w:rsid w:val="00AE7C88"/>
    <w:rsid w:val="00AF3B3A"/>
    <w:rsid w:val="00B01692"/>
    <w:rsid w:val="00B02302"/>
    <w:rsid w:val="00B02FBF"/>
    <w:rsid w:val="00B06AEE"/>
    <w:rsid w:val="00B0750D"/>
    <w:rsid w:val="00B12001"/>
    <w:rsid w:val="00B12544"/>
    <w:rsid w:val="00B1539E"/>
    <w:rsid w:val="00B2463B"/>
    <w:rsid w:val="00B25ED7"/>
    <w:rsid w:val="00B27150"/>
    <w:rsid w:val="00B30AFC"/>
    <w:rsid w:val="00B30BAE"/>
    <w:rsid w:val="00B31A84"/>
    <w:rsid w:val="00B34A86"/>
    <w:rsid w:val="00B50362"/>
    <w:rsid w:val="00B51DE2"/>
    <w:rsid w:val="00B54716"/>
    <w:rsid w:val="00B5790C"/>
    <w:rsid w:val="00B579AE"/>
    <w:rsid w:val="00B66DB1"/>
    <w:rsid w:val="00B71011"/>
    <w:rsid w:val="00B74860"/>
    <w:rsid w:val="00B76895"/>
    <w:rsid w:val="00B77134"/>
    <w:rsid w:val="00B816ED"/>
    <w:rsid w:val="00B81EEF"/>
    <w:rsid w:val="00B82F22"/>
    <w:rsid w:val="00B833F7"/>
    <w:rsid w:val="00B842C5"/>
    <w:rsid w:val="00B852BE"/>
    <w:rsid w:val="00B857FD"/>
    <w:rsid w:val="00BA31CD"/>
    <w:rsid w:val="00BA4159"/>
    <w:rsid w:val="00BA643A"/>
    <w:rsid w:val="00BB032E"/>
    <w:rsid w:val="00BB2B9C"/>
    <w:rsid w:val="00BB2EBC"/>
    <w:rsid w:val="00BB7253"/>
    <w:rsid w:val="00BC3DC3"/>
    <w:rsid w:val="00BC48B4"/>
    <w:rsid w:val="00BD2501"/>
    <w:rsid w:val="00BD606D"/>
    <w:rsid w:val="00BE6736"/>
    <w:rsid w:val="00BF09F3"/>
    <w:rsid w:val="00BF79DD"/>
    <w:rsid w:val="00BF7D2F"/>
    <w:rsid w:val="00C035C0"/>
    <w:rsid w:val="00C107EA"/>
    <w:rsid w:val="00C16091"/>
    <w:rsid w:val="00C230B5"/>
    <w:rsid w:val="00C24694"/>
    <w:rsid w:val="00C33620"/>
    <w:rsid w:val="00C339DA"/>
    <w:rsid w:val="00C346BF"/>
    <w:rsid w:val="00C36F89"/>
    <w:rsid w:val="00C50429"/>
    <w:rsid w:val="00C50845"/>
    <w:rsid w:val="00C51E2F"/>
    <w:rsid w:val="00C55F2C"/>
    <w:rsid w:val="00C616F4"/>
    <w:rsid w:val="00C61919"/>
    <w:rsid w:val="00C61AC8"/>
    <w:rsid w:val="00C65ADD"/>
    <w:rsid w:val="00C750A8"/>
    <w:rsid w:val="00C76288"/>
    <w:rsid w:val="00C877AE"/>
    <w:rsid w:val="00C90D4A"/>
    <w:rsid w:val="00C928FD"/>
    <w:rsid w:val="00C94C5D"/>
    <w:rsid w:val="00CA17D8"/>
    <w:rsid w:val="00CA66FF"/>
    <w:rsid w:val="00CA7640"/>
    <w:rsid w:val="00CB2F5E"/>
    <w:rsid w:val="00CB5568"/>
    <w:rsid w:val="00CC08AD"/>
    <w:rsid w:val="00CD280A"/>
    <w:rsid w:val="00CD5001"/>
    <w:rsid w:val="00CE237A"/>
    <w:rsid w:val="00CE2FC8"/>
    <w:rsid w:val="00CF01C7"/>
    <w:rsid w:val="00CF2DF3"/>
    <w:rsid w:val="00CF43B5"/>
    <w:rsid w:val="00CF60C6"/>
    <w:rsid w:val="00D034E8"/>
    <w:rsid w:val="00D05645"/>
    <w:rsid w:val="00D058A5"/>
    <w:rsid w:val="00D07140"/>
    <w:rsid w:val="00D14755"/>
    <w:rsid w:val="00D17CBB"/>
    <w:rsid w:val="00D2112D"/>
    <w:rsid w:val="00D2330F"/>
    <w:rsid w:val="00D348FA"/>
    <w:rsid w:val="00D3575F"/>
    <w:rsid w:val="00D40CDB"/>
    <w:rsid w:val="00D41245"/>
    <w:rsid w:val="00D421BD"/>
    <w:rsid w:val="00D439FF"/>
    <w:rsid w:val="00D531DE"/>
    <w:rsid w:val="00D53BA1"/>
    <w:rsid w:val="00D54AC7"/>
    <w:rsid w:val="00D54CD4"/>
    <w:rsid w:val="00D62080"/>
    <w:rsid w:val="00D62415"/>
    <w:rsid w:val="00D8010A"/>
    <w:rsid w:val="00D814D6"/>
    <w:rsid w:val="00D85C28"/>
    <w:rsid w:val="00D87372"/>
    <w:rsid w:val="00D95760"/>
    <w:rsid w:val="00D95E00"/>
    <w:rsid w:val="00D96403"/>
    <w:rsid w:val="00DA00CE"/>
    <w:rsid w:val="00DA57CC"/>
    <w:rsid w:val="00DA652F"/>
    <w:rsid w:val="00DB3F4C"/>
    <w:rsid w:val="00DC2627"/>
    <w:rsid w:val="00DC77D5"/>
    <w:rsid w:val="00DD10E9"/>
    <w:rsid w:val="00DD3325"/>
    <w:rsid w:val="00DD6C63"/>
    <w:rsid w:val="00DE10B5"/>
    <w:rsid w:val="00DE268B"/>
    <w:rsid w:val="00DE63CD"/>
    <w:rsid w:val="00DF5B76"/>
    <w:rsid w:val="00DF6134"/>
    <w:rsid w:val="00DF688F"/>
    <w:rsid w:val="00E01FF4"/>
    <w:rsid w:val="00E05006"/>
    <w:rsid w:val="00E051BA"/>
    <w:rsid w:val="00E05D76"/>
    <w:rsid w:val="00E06B1A"/>
    <w:rsid w:val="00E13183"/>
    <w:rsid w:val="00E2130D"/>
    <w:rsid w:val="00E21B26"/>
    <w:rsid w:val="00E2557D"/>
    <w:rsid w:val="00E311FD"/>
    <w:rsid w:val="00E34A29"/>
    <w:rsid w:val="00E360B8"/>
    <w:rsid w:val="00E41CD3"/>
    <w:rsid w:val="00E45614"/>
    <w:rsid w:val="00E45EA4"/>
    <w:rsid w:val="00E47C62"/>
    <w:rsid w:val="00E50936"/>
    <w:rsid w:val="00E53D35"/>
    <w:rsid w:val="00E56826"/>
    <w:rsid w:val="00E57212"/>
    <w:rsid w:val="00E57394"/>
    <w:rsid w:val="00E61321"/>
    <w:rsid w:val="00E7285F"/>
    <w:rsid w:val="00E745BD"/>
    <w:rsid w:val="00E75229"/>
    <w:rsid w:val="00E81765"/>
    <w:rsid w:val="00E825C2"/>
    <w:rsid w:val="00E91058"/>
    <w:rsid w:val="00E922BE"/>
    <w:rsid w:val="00E92C96"/>
    <w:rsid w:val="00E94DFB"/>
    <w:rsid w:val="00E95859"/>
    <w:rsid w:val="00EA119E"/>
    <w:rsid w:val="00EA382C"/>
    <w:rsid w:val="00EB0A7C"/>
    <w:rsid w:val="00EB45C3"/>
    <w:rsid w:val="00EB59DC"/>
    <w:rsid w:val="00EB6A01"/>
    <w:rsid w:val="00EB7F40"/>
    <w:rsid w:val="00EC0B8E"/>
    <w:rsid w:val="00EC2851"/>
    <w:rsid w:val="00EC6955"/>
    <w:rsid w:val="00EC69E0"/>
    <w:rsid w:val="00ED2CF2"/>
    <w:rsid w:val="00ED73BB"/>
    <w:rsid w:val="00EE56BC"/>
    <w:rsid w:val="00EE7EB5"/>
    <w:rsid w:val="00EF1771"/>
    <w:rsid w:val="00EF219A"/>
    <w:rsid w:val="00EF38BE"/>
    <w:rsid w:val="00EF58C3"/>
    <w:rsid w:val="00EF699A"/>
    <w:rsid w:val="00EF6C3B"/>
    <w:rsid w:val="00F06C99"/>
    <w:rsid w:val="00F07F27"/>
    <w:rsid w:val="00F22E7E"/>
    <w:rsid w:val="00F23D6D"/>
    <w:rsid w:val="00F24D32"/>
    <w:rsid w:val="00F349F7"/>
    <w:rsid w:val="00F41D9E"/>
    <w:rsid w:val="00F455CE"/>
    <w:rsid w:val="00F50E99"/>
    <w:rsid w:val="00F514D8"/>
    <w:rsid w:val="00F60C27"/>
    <w:rsid w:val="00F6109A"/>
    <w:rsid w:val="00F623AF"/>
    <w:rsid w:val="00F62EFC"/>
    <w:rsid w:val="00F6400C"/>
    <w:rsid w:val="00F66205"/>
    <w:rsid w:val="00F704AE"/>
    <w:rsid w:val="00F70DCE"/>
    <w:rsid w:val="00F74023"/>
    <w:rsid w:val="00F80F31"/>
    <w:rsid w:val="00F833B0"/>
    <w:rsid w:val="00F9264F"/>
    <w:rsid w:val="00F95BF8"/>
    <w:rsid w:val="00FA0A17"/>
    <w:rsid w:val="00FA6070"/>
    <w:rsid w:val="00FA7C19"/>
    <w:rsid w:val="00FB0247"/>
    <w:rsid w:val="00FC0C2A"/>
    <w:rsid w:val="00FC1DBC"/>
    <w:rsid w:val="00FC54CF"/>
    <w:rsid w:val="00FC5505"/>
    <w:rsid w:val="00FC67C0"/>
    <w:rsid w:val="00FD33CB"/>
    <w:rsid w:val="00FE128F"/>
    <w:rsid w:val="00FE2493"/>
    <w:rsid w:val="00FE348C"/>
    <w:rsid w:val="00FE5D5E"/>
    <w:rsid w:val="00FF1E2D"/>
    <w:rsid w:val="00FF3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B40A8"/>
  <w15:chartTrackingRefBased/>
  <w15:docId w15:val="{723269F3-EAC2-4053-A8C0-F632BCFD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82F"/>
    <w:pPr>
      <w:spacing w:line="276" w:lineRule="auto"/>
    </w:pPr>
    <w:rPr>
      <w:rFonts w:ascii="Gill Sans MT" w:hAnsi="Gill Sans MT"/>
      <w:lang w:val="en-GB"/>
    </w:rPr>
  </w:style>
  <w:style w:type="paragraph" w:styleId="Heading1">
    <w:name w:val="heading 1"/>
    <w:basedOn w:val="Normal"/>
    <w:next w:val="Normal"/>
    <w:link w:val="Heading1Char"/>
    <w:uiPriority w:val="9"/>
    <w:qFormat/>
    <w:rsid w:val="007C5B2F"/>
    <w:pPr>
      <w:keepNext/>
      <w:keepLines/>
      <w:spacing w:before="240"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5B2F"/>
    <w:pPr>
      <w:keepNext/>
      <w:keepLines/>
      <w:spacing w:before="120" w:after="12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4B64"/>
    <w:pPr>
      <w:keepNext/>
      <w:keepLines/>
      <w:spacing w:before="60" w:after="6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182"/>
    <w:pPr>
      <w:ind w:left="720"/>
      <w:contextualSpacing/>
    </w:pPr>
  </w:style>
  <w:style w:type="character" w:styleId="Hyperlink">
    <w:name w:val="Hyperlink"/>
    <w:basedOn w:val="DefaultParagraphFont"/>
    <w:uiPriority w:val="99"/>
    <w:unhideWhenUsed/>
    <w:rsid w:val="007F569F"/>
    <w:rPr>
      <w:color w:val="0563C1" w:themeColor="hyperlink"/>
      <w:u w:val="single"/>
    </w:rPr>
  </w:style>
  <w:style w:type="character" w:styleId="UnresolvedMention">
    <w:name w:val="Unresolved Mention"/>
    <w:basedOn w:val="DefaultParagraphFont"/>
    <w:uiPriority w:val="99"/>
    <w:semiHidden/>
    <w:unhideWhenUsed/>
    <w:rsid w:val="007F569F"/>
    <w:rPr>
      <w:color w:val="605E5C"/>
      <w:shd w:val="clear" w:color="auto" w:fill="E1DFDD"/>
    </w:rPr>
  </w:style>
  <w:style w:type="character" w:styleId="CommentReference">
    <w:name w:val="annotation reference"/>
    <w:basedOn w:val="DefaultParagraphFont"/>
    <w:uiPriority w:val="99"/>
    <w:semiHidden/>
    <w:unhideWhenUsed/>
    <w:rsid w:val="006B43B9"/>
    <w:rPr>
      <w:sz w:val="16"/>
      <w:szCs w:val="16"/>
    </w:rPr>
  </w:style>
  <w:style w:type="paragraph" w:styleId="CommentText">
    <w:name w:val="annotation text"/>
    <w:basedOn w:val="Normal"/>
    <w:link w:val="CommentTextChar"/>
    <w:uiPriority w:val="99"/>
    <w:unhideWhenUsed/>
    <w:rsid w:val="006B43B9"/>
    <w:pPr>
      <w:spacing w:line="240" w:lineRule="auto"/>
    </w:pPr>
    <w:rPr>
      <w:sz w:val="20"/>
      <w:szCs w:val="20"/>
    </w:rPr>
  </w:style>
  <w:style w:type="character" w:customStyle="1" w:styleId="CommentTextChar">
    <w:name w:val="Comment Text Char"/>
    <w:basedOn w:val="DefaultParagraphFont"/>
    <w:link w:val="CommentText"/>
    <w:uiPriority w:val="99"/>
    <w:rsid w:val="006B43B9"/>
    <w:rPr>
      <w:sz w:val="20"/>
      <w:szCs w:val="20"/>
      <w:lang w:val="en-GB"/>
    </w:rPr>
  </w:style>
  <w:style w:type="paragraph" w:styleId="CommentSubject">
    <w:name w:val="annotation subject"/>
    <w:basedOn w:val="CommentText"/>
    <w:next w:val="CommentText"/>
    <w:link w:val="CommentSubjectChar"/>
    <w:uiPriority w:val="99"/>
    <w:semiHidden/>
    <w:unhideWhenUsed/>
    <w:rsid w:val="006B43B9"/>
    <w:rPr>
      <w:b/>
      <w:bCs/>
    </w:rPr>
  </w:style>
  <w:style w:type="character" w:customStyle="1" w:styleId="CommentSubjectChar">
    <w:name w:val="Comment Subject Char"/>
    <w:basedOn w:val="CommentTextChar"/>
    <w:link w:val="CommentSubject"/>
    <w:uiPriority w:val="99"/>
    <w:semiHidden/>
    <w:rsid w:val="006B43B9"/>
    <w:rPr>
      <w:b/>
      <w:bCs/>
      <w:sz w:val="20"/>
      <w:szCs w:val="20"/>
      <w:lang w:val="en-GB"/>
    </w:rPr>
  </w:style>
  <w:style w:type="paragraph" w:styleId="BalloonText">
    <w:name w:val="Balloon Text"/>
    <w:basedOn w:val="Normal"/>
    <w:link w:val="BalloonTextChar"/>
    <w:uiPriority w:val="99"/>
    <w:semiHidden/>
    <w:unhideWhenUsed/>
    <w:rsid w:val="006B4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B9"/>
    <w:rPr>
      <w:rFonts w:ascii="Segoe UI" w:hAnsi="Segoe UI" w:cs="Segoe UI"/>
      <w:sz w:val="18"/>
      <w:szCs w:val="18"/>
      <w:lang w:val="en-GB"/>
    </w:rPr>
  </w:style>
  <w:style w:type="character" w:customStyle="1" w:styleId="Heading2Char">
    <w:name w:val="Heading 2 Char"/>
    <w:basedOn w:val="DefaultParagraphFont"/>
    <w:link w:val="Heading2"/>
    <w:uiPriority w:val="9"/>
    <w:rsid w:val="007C5B2F"/>
    <w:rPr>
      <w:rFonts w:ascii="Gill Sans MT" w:eastAsiaTheme="majorEastAsia" w:hAnsi="Gill Sans MT"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7C5B2F"/>
    <w:rPr>
      <w:rFonts w:ascii="Gill Sans MT" w:eastAsiaTheme="majorEastAsia" w:hAnsi="Gill Sans MT"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294B64"/>
    <w:rPr>
      <w:rFonts w:ascii="Gill Sans MT" w:eastAsiaTheme="majorEastAsia" w:hAnsi="Gill Sans MT" w:cstheme="majorBidi"/>
      <w:color w:val="1F3763" w:themeColor="accent1" w:themeShade="7F"/>
      <w:sz w:val="24"/>
      <w:szCs w:val="24"/>
      <w:lang w:val="en-GB"/>
    </w:rPr>
  </w:style>
  <w:style w:type="paragraph" w:styleId="NoSpacing">
    <w:name w:val="No Spacing"/>
    <w:uiPriority w:val="1"/>
    <w:qFormat/>
    <w:rsid w:val="004843A1"/>
    <w:pPr>
      <w:spacing w:after="0" w:line="240" w:lineRule="auto"/>
    </w:pPr>
  </w:style>
  <w:style w:type="table" w:styleId="TableGrid">
    <w:name w:val="Table Grid"/>
    <w:basedOn w:val="TableNormal"/>
    <w:uiPriority w:val="39"/>
    <w:rsid w:val="00640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544"/>
    <w:rPr>
      <w:rFonts w:ascii="Gill Sans MT" w:hAnsi="Gill Sans MT"/>
      <w:lang w:val="en-GB"/>
    </w:rPr>
  </w:style>
  <w:style w:type="paragraph" w:styleId="Footer">
    <w:name w:val="footer"/>
    <w:basedOn w:val="Normal"/>
    <w:link w:val="FooterChar"/>
    <w:uiPriority w:val="99"/>
    <w:unhideWhenUsed/>
    <w:rsid w:val="00B12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544"/>
    <w:rPr>
      <w:rFonts w:ascii="Gill Sans MT" w:hAnsi="Gill Sans MT"/>
      <w:lang w:val="en-GB"/>
    </w:rPr>
  </w:style>
  <w:style w:type="character" w:styleId="FollowedHyperlink">
    <w:name w:val="FollowedHyperlink"/>
    <w:basedOn w:val="DefaultParagraphFont"/>
    <w:uiPriority w:val="99"/>
    <w:semiHidden/>
    <w:unhideWhenUsed/>
    <w:rsid w:val="009F5908"/>
    <w:rPr>
      <w:color w:val="954F72" w:themeColor="followedHyperlink"/>
      <w:u w:val="single"/>
    </w:rPr>
  </w:style>
  <w:style w:type="paragraph" w:customStyle="1" w:styleId="DepartmentTitle">
    <w:name w:val="Department Title"/>
    <w:semiHidden/>
    <w:rsid w:val="00B833F7"/>
    <w:pPr>
      <w:tabs>
        <w:tab w:val="left" w:pos="720"/>
      </w:tabs>
      <w:spacing w:after="0" w:line="240" w:lineRule="auto"/>
    </w:pPr>
    <w:rPr>
      <w:rFonts w:ascii="Gill Sans MT" w:eastAsia="Times New Roman" w:hAnsi="Gill Sans MT" w:cs="Times New Roman"/>
      <w:sz w:val="28"/>
      <w:szCs w:val="24"/>
    </w:rPr>
  </w:style>
  <w:style w:type="paragraph" w:customStyle="1" w:styleId="Logo">
    <w:name w:val="Logo"/>
    <w:semiHidden/>
    <w:rsid w:val="00B833F7"/>
    <w:pPr>
      <w:spacing w:after="0" w:line="300" w:lineRule="atLeast"/>
      <w:ind w:right="-28"/>
      <w:jc w:val="right"/>
    </w:pPr>
    <w:rPr>
      <w:rFonts w:ascii="Gill Sans MT" w:eastAsia="Times New Roman" w:hAnsi="Gill Sans MT" w:cs="Times New Roman"/>
      <w:sz w:val="20"/>
      <w:szCs w:val="24"/>
    </w:rPr>
  </w:style>
  <w:style w:type="paragraph" w:customStyle="1" w:styleId="Sub-branch">
    <w:name w:val="Sub-branch"/>
    <w:semiHidden/>
    <w:rsid w:val="00B833F7"/>
    <w:pPr>
      <w:spacing w:before="80" w:after="240" w:line="24" w:lineRule="atLeast"/>
    </w:pPr>
    <w:rPr>
      <w:rFonts w:ascii="Gill Sans MT" w:eastAsia="Times New Roman" w:hAnsi="Gill Sans MT" w:cs="Times New Roman"/>
      <w:caps/>
      <w:w w:val="95"/>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tas.gov.au/node/3956" TargetMode="External"/><Relationship Id="rId18" Type="http://schemas.openxmlformats.org/officeDocument/2006/relationships/hyperlink" Target="https://www.legislation.tas.gov.au/view/html/inforce/current/act-1971-08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health.tas.gov.au/mentalhealth/alcohol_and_drug/tasmanian_opioid_pharmacotherapy_policy_and_clinical_practice_standards" TargetMode="External"/><Relationship Id="rId7" Type="http://schemas.openxmlformats.org/officeDocument/2006/relationships/settings" Target="settings.xml"/><Relationship Id="rId12" Type="http://schemas.openxmlformats.org/officeDocument/2006/relationships/hyperlink" Target="https://www.health.tas.gov.au/node/4021" TargetMode="External"/><Relationship Id="rId17" Type="http://schemas.openxmlformats.org/officeDocument/2006/relationships/hyperlink" Target="https://www.health.tas.gov.au/mentalhealth/alcohol_and_drug/tasmanian_opioid_pharmacotherapy_policy_and_clinical_practice_standards" TargetMode="External"/><Relationship Id="rId25" Type="http://schemas.openxmlformats.org/officeDocument/2006/relationships/hyperlink" Target="https://www.health.tas.gov.au/mentalhealth/alcohol_and_drug/tasmanian_opioid_pharmacotherapy_policy_and_clinical_practice_standar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ga.gov.au/publication/poisons-standard-susmp" TargetMode="External"/><Relationship Id="rId20" Type="http://schemas.openxmlformats.org/officeDocument/2006/relationships/hyperlink" Target="https://www.tga.gov.au/publication/poisons-standard-susm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ga.gov.au/publication/poisons-standard-susmp"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tas.gov.au/view/html/inforce/current/sr-2018-079" TargetMode="External"/><Relationship Id="rId23" Type="http://schemas.openxmlformats.org/officeDocument/2006/relationships/hyperlink" Target="https://www.legislation.tas.gov.au/view/html/inforce/current/sr-2018-079"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egislation.tas.gov.au/view/html/inforce/current/sr-2018-07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tas.gov.au/view/html/inforce/current/act-1971-081" TargetMode="External"/><Relationship Id="rId22" Type="http://schemas.openxmlformats.org/officeDocument/2006/relationships/hyperlink" Target="https://www.legislation.tas.gov.au/view/html/inforce/current/act-1971-08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184A107583A64C9ADE0012C4E91A45" ma:contentTypeVersion="11" ma:contentTypeDescription="Create a new document." ma:contentTypeScope="" ma:versionID="3c034b85dd0f5a911e4838038341f00c">
  <xsd:schema xmlns:xsd="http://www.w3.org/2001/XMLSchema" xmlns:xs="http://www.w3.org/2001/XMLSchema" xmlns:p="http://schemas.microsoft.com/office/2006/metadata/properties" xmlns:ns3="3308d57c-d04c-418e-8dbd-099e568105da" xmlns:ns4="4cbb5706-0144-42e9-86cb-33bed3a8f198" targetNamespace="http://schemas.microsoft.com/office/2006/metadata/properties" ma:root="true" ma:fieldsID="91f7c6c8bc755aef6b7c57a0f5a8cb87" ns3:_="" ns4:_="">
    <xsd:import namespace="3308d57c-d04c-418e-8dbd-099e568105da"/>
    <xsd:import namespace="4cbb5706-0144-42e9-86cb-33bed3a8f1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d57c-d04c-418e-8dbd-099e56810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b5706-0144-42e9-86cb-33bed3a8f1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76592E-5132-4DB3-8A33-A8BB28495110}">
  <ds:schemaRefs>
    <ds:schemaRef ds:uri="http://schemas.microsoft.com/sharepoint/v3/contenttype/forms"/>
  </ds:schemaRefs>
</ds:datastoreItem>
</file>

<file path=customXml/itemProps2.xml><?xml version="1.0" encoding="utf-8"?>
<ds:datastoreItem xmlns:ds="http://schemas.openxmlformats.org/officeDocument/2006/customXml" ds:itemID="{0F0BF818-1B19-434F-98A1-9DC1D55BD3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FF89D-2C9E-4A42-B45A-8786C327FA23}">
  <ds:schemaRefs>
    <ds:schemaRef ds:uri="http://schemas.openxmlformats.org/officeDocument/2006/bibliography"/>
  </ds:schemaRefs>
</ds:datastoreItem>
</file>

<file path=customXml/itemProps4.xml><?xml version="1.0" encoding="utf-8"?>
<ds:datastoreItem xmlns:ds="http://schemas.openxmlformats.org/officeDocument/2006/customXml" ds:itemID="{F52AAF85-052A-47AB-8177-7BD776F37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8d57c-d04c-418e-8dbd-099e568105da"/>
    <ds:schemaRef ds:uri="4cbb5706-0144-42e9-86cb-33bed3a8f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3621</Words>
  <Characters>20643</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director.mhadd@health.tas.gov.au</dc:creator>
  <cp:keywords/>
  <dc:description/>
  <cp:lastModifiedBy>Longmuir, Shosh</cp:lastModifiedBy>
  <cp:revision>2</cp:revision>
  <cp:lastPrinted>2020-08-23T22:51:00Z</cp:lastPrinted>
  <dcterms:created xsi:type="dcterms:W3CDTF">2021-12-21T05:22:00Z</dcterms:created>
  <dcterms:modified xsi:type="dcterms:W3CDTF">2021-12-21T05:22:00Z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0x0101000A184A107583A64C9ADE0012C4E91A45</vt:lpwstr>
  </property>
  <property fmtid="{D5CDD505-2E9C-101B-9397-08002B2CF9AE}" pid="3" name="_NewReviewCycle">
    <vt:lpwstr/>
  </property>
</Properties>
</file>