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A9F7A" w14:textId="77777777" w:rsidR="00524330" w:rsidRPr="00A46B4D" w:rsidRDefault="00392870" w:rsidP="00CC040C">
      <w:pPr>
        <w:pStyle w:val="Title"/>
        <w:ind w:right="1394"/>
      </w:pPr>
      <w:bookmarkStart w:id="0" w:name="_GoBack"/>
      <w:bookmarkEnd w:id="0"/>
      <w:r>
        <w:t>The Australian Curriculum</w:t>
      </w:r>
    </w:p>
    <w:p w14:paraId="0D94D31B" w14:textId="77777777" w:rsidR="00524330" w:rsidRDefault="00392870" w:rsidP="00CC040C">
      <w:pPr>
        <w:pStyle w:val="Subtitle"/>
        <w:ind w:right="1394"/>
        <w:rPr>
          <w:rStyle w:val="SubtitleChar"/>
          <w:b/>
          <w:color w:val="55437F"/>
          <w:sz w:val="52"/>
        </w:rPr>
      </w:pPr>
      <w:r>
        <w:rPr>
          <w:rStyle w:val="SubtitleChar"/>
          <w:b/>
          <w:color w:val="55437F"/>
          <w:sz w:val="52"/>
        </w:rPr>
        <w:t>Health and Physical Education</w:t>
      </w:r>
      <w:r w:rsidR="001F3D70">
        <w:rPr>
          <w:rStyle w:val="SubtitleChar"/>
          <w:b/>
          <w:color w:val="55437F"/>
          <w:sz w:val="52"/>
        </w:rPr>
        <w:t xml:space="preserve"> (HPE)</w:t>
      </w:r>
      <w:r>
        <w:rPr>
          <w:rStyle w:val="SubtitleChar"/>
          <w:b/>
          <w:color w:val="55437F"/>
          <w:sz w:val="52"/>
        </w:rPr>
        <w:t xml:space="preserve"> Focus Areas</w:t>
      </w:r>
    </w:p>
    <w:p w14:paraId="217366BC" w14:textId="77777777" w:rsidR="005E7EE8" w:rsidRDefault="001F3D70" w:rsidP="001F3D70">
      <w:pPr>
        <w:ind w:right="1394"/>
        <w:rPr>
          <w:lang w:val="en"/>
        </w:rPr>
      </w:pPr>
      <w:r>
        <w:rPr>
          <w:lang w:val="en"/>
        </w:rPr>
        <w:t xml:space="preserve">There are 12 focus areas in the HPE Curriculum that provide the breadth of learning required.  </w:t>
      </w:r>
      <w:r w:rsidR="005E7EE8">
        <w:rPr>
          <w:lang w:val="en"/>
        </w:rPr>
        <w:t xml:space="preserve">See the </w:t>
      </w:r>
      <w:hyperlink r:id="rId8" w:history="1">
        <w:r w:rsidR="005E7EE8" w:rsidRPr="005E7EE8">
          <w:rPr>
            <w:rStyle w:val="Hyperlink"/>
            <w:lang w:val="en"/>
          </w:rPr>
          <w:t>Australian Curriculum</w:t>
        </w:r>
      </w:hyperlink>
      <w:r w:rsidR="005E7EE8">
        <w:rPr>
          <w:lang w:val="en"/>
        </w:rPr>
        <w:t xml:space="preserve"> for more information.</w:t>
      </w:r>
    </w:p>
    <w:p w14:paraId="63390F6A" w14:textId="77777777" w:rsidR="001F3D70" w:rsidRDefault="001F3D70" w:rsidP="001F3D70">
      <w:pPr>
        <w:ind w:right="1394"/>
        <w:rPr>
          <w:lang w:val="en"/>
        </w:rPr>
      </w:pPr>
      <w:r>
        <w:rPr>
          <w:lang w:val="en"/>
        </w:rPr>
        <w:t>This document maps</w:t>
      </w:r>
      <w:r w:rsidR="005E7EE8">
        <w:rPr>
          <w:lang w:val="en"/>
        </w:rPr>
        <w:t xml:space="preserve"> six of the</w:t>
      </w:r>
      <w:r>
        <w:rPr>
          <w:lang w:val="en"/>
        </w:rPr>
        <w:t xml:space="preserve"> Healthy Young People (HYP) Missions</w:t>
      </w:r>
      <w:r w:rsidR="005E7EE8">
        <w:rPr>
          <w:lang w:val="en"/>
        </w:rPr>
        <w:t xml:space="preserve"> to the relevant</w:t>
      </w:r>
      <w:r>
        <w:rPr>
          <w:lang w:val="en"/>
        </w:rPr>
        <w:t xml:space="preserve"> focus areas</w:t>
      </w:r>
      <w:r w:rsidR="005E7EE8">
        <w:rPr>
          <w:lang w:val="en"/>
        </w:rPr>
        <w:t>.</w:t>
      </w:r>
    </w:p>
    <w:p w14:paraId="1F113C89" w14:textId="77777777" w:rsidR="001F3D70" w:rsidRDefault="005E7EE8" w:rsidP="001F3D70">
      <w:pPr>
        <w:ind w:right="1394"/>
        <w:rPr>
          <w:lang w:val="en"/>
        </w:rPr>
      </w:pPr>
      <w:r>
        <w:rPr>
          <w:lang w:val="en"/>
        </w:rPr>
        <w:t xml:space="preserve">Please note: </w:t>
      </w:r>
      <w:r w:rsidR="00A4537D">
        <w:rPr>
          <w:lang w:val="en"/>
        </w:rPr>
        <w:t>The</w:t>
      </w:r>
      <w:r w:rsidR="001F3D70">
        <w:rPr>
          <w:lang w:val="en"/>
        </w:rPr>
        <w:t xml:space="preserve"> Choose your own Mission provides the oppor</w:t>
      </w:r>
      <w:r>
        <w:rPr>
          <w:lang w:val="en"/>
        </w:rPr>
        <w:t>tunity for students to address other relevant focus areas</w:t>
      </w:r>
      <w:r w:rsidR="009155B9">
        <w:rPr>
          <w:lang w:val="en"/>
        </w:rPr>
        <w:t xml:space="preserve"> not listed </w:t>
      </w:r>
      <w:r w:rsidR="00AB27AE">
        <w:rPr>
          <w:lang w:val="en"/>
        </w:rPr>
        <w:t>here.</w:t>
      </w:r>
    </w:p>
    <w:p w14:paraId="734C243D" w14:textId="77777777" w:rsidR="005E7EE8" w:rsidRPr="00524330" w:rsidRDefault="005E7EE8" w:rsidP="001F3D70">
      <w:pPr>
        <w:ind w:right="1394"/>
        <w:rPr>
          <w:lang w:val="en"/>
        </w:rPr>
      </w:pPr>
    </w:p>
    <w:p w14:paraId="4B173B82" w14:textId="77777777" w:rsidR="001F3D70" w:rsidRDefault="001F3D70" w:rsidP="001F3D70">
      <w:pPr>
        <w:rPr>
          <w:rStyle w:val="SubtitleChar"/>
          <w:b w:val="0"/>
          <w:color w:val="55437F"/>
          <w:sz w:val="52"/>
        </w:rPr>
      </w:pPr>
    </w:p>
    <w:tbl>
      <w:tblPr>
        <w:tblStyle w:val="PlainTable1"/>
        <w:tblW w:w="0" w:type="auto"/>
        <w:tblLook w:val="04A0" w:firstRow="1" w:lastRow="0" w:firstColumn="1" w:lastColumn="0" w:noHBand="0" w:noVBand="1"/>
      </w:tblPr>
      <w:tblGrid>
        <w:gridCol w:w="9976"/>
        <w:gridCol w:w="662"/>
        <w:gridCol w:w="662"/>
        <w:gridCol w:w="662"/>
        <w:gridCol w:w="662"/>
        <w:gridCol w:w="662"/>
        <w:gridCol w:w="662"/>
      </w:tblGrid>
      <w:tr w:rsidR="001F3D70" w14:paraId="64D60F58" w14:textId="77777777" w:rsidTr="009B746E">
        <w:trPr>
          <w:cnfStyle w:val="100000000000" w:firstRow="1" w:lastRow="0" w:firstColumn="0" w:lastColumn="0" w:oddVBand="0" w:evenVBand="0" w:oddHBand="0" w:evenHBand="0" w:firstRowFirstColumn="0" w:firstRowLastColumn="0" w:lastRowFirstColumn="0" w:lastRowLastColumn="0"/>
          <w:cantSplit/>
          <w:trHeight w:val="3707"/>
        </w:trPr>
        <w:tc>
          <w:tcPr>
            <w:cnfStyle w:val="001000000000" w:firstRow="0" w:lastRow="0" w:firstColumn="1" w:lastColumn="0" w:oddVBand="0" w:evenVBand="0" w:oddHBand="0" w:evenHBand="0" w:firstRowFirstColumn="0" w:firstRowLastColumn="0" w:lastRowFirstColumn="0" w:lastRowLastColumn="0"/>
            <w:tcW w:w="9976" w:type="dxa"/>
            <w:vAlign w:val="bottom"/>
          </w:tcPr>
          <w:p w14:paraId="5552D419" w14:textId="77777777" w:rsidR="001F3D70" w:rsidRPr="009155B9" w:rsidRDefault="001F3D70" w:rsidP="009155B9">
            <w:pPr>
              <w:pStyle w:val="NoSpacing"/>
              <w:rPr>
                <w:sz w:val="40"/>
                <w:lang w:val="en"/>
              </w:rPr>
            </w:pPr>
            <w:r w:rsidRPr="009155B9">
              <w:rPr>
                <w:sz w:val="40"/>
                <w:lang w:val="en"/>
              </w:rPr>
              <w:lastRenderedPageBreak/>
              <w:t>Focus Area</w:t>
            </w:r>
          </w:p>
        </w:tc>
        <w:tc>
          <w:tcPr>
            <w:tcW w:w="662" w:type="dxa"/>
            <w:textDirection w:val="btLr"/>
          </w:tcPr>
          <w:p w14:paraId="659FB62B" w14:textId="77777777" w:rsidR="001F3D70" w:rsidRPr="00530F0F" w:rsidRDefault="001F3D70" w:rsidP="001F3D70">
            <w:pPr>
              <w:ind w:left="113"/>
              <w:cnfStyle w:val="100000000000" w:firstRow="1" w:lastRow="0" w:firstColumn="0" w:lastColumn="0" w:oddVBand="0" w:evenVBand="0" w:oddHBand="0" w:evenHBand="0" w:firstRowFirstColumn="0" w:firstRowLastColumn="0" w:lastRowFirstColumn="0" w:lastRowLastColumn="0"/>
            </w:pPr>
            <w:r w:rsidRPr="00530F0F">
              <w:t>Make Water the Main Drink</w:t>
            </w:r>
          </w:p>
        </w:tc>
        <w:tc>
          <w:tcPr>
            <w:tcW w:w="662" w:type="dxa"/>
            <w:textDirection w:val="btLr"/>
          </w:tcPr>
          <w:p w14:paraId="3B1C8FD3" w14:textId="77777777" w:rsidR="001F3D70" w:rsidRPr="00530F0F" w:rsidRDefault="001F3D70" w:rsidP="001F3D70">
            <w:pPr>
              <w:ind w:left="113"/>
              <w:cnfStyle w:val="100000000000" w:firstRow="1" w:lastRow="0" w:firstColumn="0" w:lastColumn="0" w:oddVBand="0" w:evenVBand="0" w:oddHBand="0" w:evenHBand="0" w:firstRowFirstColumn="0" w:firstRowLastColumn="0" w:lastRowFirstColumn="0" w:lastRowLastColumn="0"/>
            </w:pPr>
            <w:r w:rsidRPr="00530F0F">
              <w:t>We Respect Every Body</w:t>
            </w:r>
          </w:p>
        </w:tc>
        <w:tc>
          <w:tcPr>
            <w:tcW w:w="662" w:type="dxa"/>
            <w:textDirection w:val="btLr"/>
          </w:tcPr>
          <w:p w14:paraId="51C66353" w14:textId="77777777" w:rsidR="001F3D70" w:rsidRPr="00530F0F" w:rsidRDefault="001F3D70" w:rsidP="001F3D70">
            <w:pPr>
              <w:ind w:left="113"/>
              <w:cnfStyle w:val="100000000000" w:firstRow="1" w:lastRow="0" w:firstColumn="0" w:lastColumn="0" w:oddVBand="0" w:evenVBand="0" w:oddHBand="0" w:evenHBand="0" w:firstRowFirstColumn="0" w:firstRowLastColumn="0" w:lastRowFirstColumn="0" w:lastRowLastColumn="0"/>
            </w:pPr>
            <w:r w:rsidRPr="00530F0F">
              <w:t>Healthy Food is the Main Food</w:t>
            </w:r>
          </w:p>
        </w:tc>
        <w:tc>
          <w:tcPr>
            <w:tcW w:w="662" w:type="dxa"/>
            <w:textDirection w:val="btLr"/>
          </w:tcPr>
          <w:p w14:paraId="42DD408B" w14:textId="77777777" w:rsidR="001F3D70" w:rsidRPr="00530F0F" w:rsidRDefault="001F3D70" w:rsidP="001F3D70">
            <w:pPr>
              <w:ind w:left="113"/>
              <w:cnfStyle w:val="100000000000" w:firstRow="1" w:lastRow="0" w:firstColumn="0" w:lastColumn="0" w:oddVBand="0" w:evenVBand="0" w:oddHBand="0" w:evenHBand="0" w:firstRowFirstColumn="0" w:firstRowLastColumn="0" w:lastRowFirstColumn="0" w:lastRowLastColumn="0"/>
            </w:pPr>
            <w:r w:rsidRPr="00530F0F">
              <w:t>We Log Enough Sleep</w:t>
            </w:r>
          </w:p>
        </w:tc>
        <w:tc>
          <w:tcPr>
            <w:tcW w:w="662" w:type="dxa"/>
            <w:textDirection w:val="btLr"/>
          </w:tcPr>
          <w:p w14:paraId="3D01E2B9" w14:textId="77777777" w:rsidR="001F3D70" w:rsidRPr="00530F0F" w:rsidRDefault="009B746E" w:rsidP="001F3D70">
            <w:pPr>
              <w:ind w:left="113"/>
              <w:cnfStyle w:val="100000000000" w:firstRow="1" w:lastRow="0" w:firstColumn="0" w:lastColumn="0" w:oddVBand="0" w:evenVBand="0" w:oddHBand="0" w:evenHBand="0" w:firstRowFirstColumn="0" w:firstRowLastColumn="0" w:lastRowFirstColumn="0" w:lastRowLastColumn="0"/>
            </w:pPr>
            <w:r>
              <w:t>Stand Up, Sit Less, Screens Down</w:t>
            </w:r>
          </w:p>
        </w:tc>
        <w:tc>
          <w:tcPr>
            <w:tcW w:w="662" w:type="dxa"/>
            <w:textDirection w:val="btLr"/>
          </w:tcPr>
          <w:p w14:paraId="0C639EF7" w14:textId="77777777" w:rsidR="001F3D70" w:rsidRPr="00530F0F" w:rsidRDefault="001F3D70" w:rsidP="001F3D70">
            <w:pPr>
              <w:ind w:left="113"/>
              <w:cnfStyle w:val="100000000000" w:firstRow="1" w:lastRow="0" w:firstColumn="0" w:lastColumn="0" w:oddVBand="0" w:evenVBand="0" w:oddHBand="0" w:evenHBand="0" w:firstRowFirstColumn="0" w:firstRowLastColumn="0" w:lastRowFirstColumn="0" w:lastRowLastColumn="0"/>
            </w:pPr>
            <w:r w:rsidRPr="00530F0F">
              <w:t>We Work Our Hearts</w:t>
            </w:r>
          </w:p>
        </w:tc>
      </w:tr>
      <w:tr w:rsidR="001F3D70" w14:paraId="6C49163D" w14:textId="77777777" w:rsidTr="0057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6" w:type="dxa"/>
          </w:tcPr>
          <w:p w14:paraId="031783DB" w14:textId="77777777" w:rsidR="007C16BA" w:rsidRPr="007C16BA" w:rsidRDefault="007C16BA" w:rsidP="007C16BA">
            <w:pPr>
              <w:spacing w:after="160" w:line="259" w:lineRule="auto"/>
              <w:ind w:right="0"/>
              <w:rPr>
                <w:rFonts w:eastAsia="Calibri"/>
                <w:szCs w:val="20"/>
                <w:lang w:eastAsia="en-US"/>
              </w:rPr>
            </w:pPr>
            <w:r w:rsidRPr="007C16BA">
              <w:rPr>
                <w:rFonts w:eastAsia="Calibri"/>
                <w:szCs w:val="20"/>
                <w:lang w:eastAsia="en-US"/>
              </w:rPr>
              <w:t>Food and Nutrition:</w:t>
            </w:r>
          </w:p>
          <w:p w14:paraId="382A16B7" w14:textId="77777777" w:rsidR="007C16BA" w:rsidRPr="007C16BA" w:rsidRDefault="007C16BA" w:rsidP="007C16BA">
            <w:pPr>
              <w:spacing w:after="160" w:line="259" w:lineRule="auto"/>
              <w:ind w:right="0"/>
              <w:rPr>
                <w:rFonts w:eastAsia="Calibri"/>
                <w:b w:val="0"/>
                <w:szCs w:val="20"/>
                <w:lang w:eastAsia="en-US"/>
              </w:rPr>
            </w:pPr>
            <w:r w:rsidRPr="007C16BA">
              <w:rPr>
                <w:rFonts w:eastAsia="Calibri"/>
                <w:b w:val="0"/>
                <w:szCs w:val="20"/>
                <w:lang w:eastAsia="en-US"/>
              </w:rPr>
              <w:t>This focus area addresses the role of food and nutrition in enhancing health and wellbeing. The content supports students to develop knowledge, understanding and skills to make healthy, informed food choices and to explore the contextual factors that influence eating habits and food choices.</w:t>
            </w:r>
          </w:p>
          <w:p w14:paraId="41B64020" w14:textId="77777777" w:rsidR="007C16BA" w:rsidRPr="007C16BA" w:rsidRDefault="007C16BA" w:rsidP="007C16BA">
            <w:pPr>
              <w:spacing w:after="160" w:line="259" w:lineRule="auto"/>
              <w:ind w:right="0"/>
              <w:rPr>
                <w:rFonts w:eastAsia="Calibri"/>
                <w:b w:val="0"/>
                <w:szCs w:val="20"/>
                <w:lang w:eastAsia="en-US"/>
              </w:rPr>
            </w:pPr>
            <w:r w:rsidRPr="007C16BA">
              <w:rPr>
                <w:rFonts w:eastAsia="Calibri"/>
                <w:b w:val="0"/>
                <w:szCs w:val="20"/>
                <w:lang w:eastAsia="en-US"/>
              </w:rPr>
              <w:t>It is expected that all students at appropriate intervals across the continuum of learning from Foundation to Year 10 will learn about the following:</w:t>
            </w:r>
          </w:p>
          <w:p w14:paraId="07C6EDB6" w14:textId="77777777" w:rsidR="007C16BA" w:rsidRPr="007C16BA" w:rsidRDefault="007C16BA" w:rsidP="007C16BA">
            <w:pPr>
              <w:numPr>
                <w:ilvl w:val="0"/>
                <w:numId w:val="2"/>
              </w:numPr>
              <w:spacing w:after="160" w:line="259" w:lineRule="auto"/>
              <w:ind w:right="0"/>
              <w:contextualSpacing/>
              <w:rPr>
                <w:rFonts w:eastAsia="Calibri"/>
                <w:b w:val="0"/>
                <w:szCs w:val="20"/>
                <w:lang w:eastAsia="en-US"/>
              </w:rPr>
            </w:pPr>
            <w:r w:rsidRPr="007C16BA">
              <w:rPr>
                <w:rFonts w:eastAsia="Calibri"/>
                <w:b w:val="0"/>
                <w:szCs w:val="20"/>
                <w:lang w:eastAsia="en-US"/>
              </w:rPr>
              <w:t xml:space="preserve">food groups and recommendations for healthy eating (including The Australian Guide to Healthy Eating) </w:t>
            </w:r>
          </w:p>
          <w:p w14:paraId="759A09AC" w14:textId="77777777" w:rsidR="007C16BA" w:rsidRPr="007C16BA" w:rsidRDefault="007C16BA" w:rsidP="007C16BA">
            <w:pPr>
              <w:numPr>
                <w:ilvl w:val="0"/>
                <w:numId w:val="2"/>
              </w:numPr>
              <w:spacing w:after="160" w:line="259" w:lineRule="auto"/>
              <w:ind w:right="0"/>
              <w:contextualSpacing/>
              <w:rPr>
                <w:rFonts w:eastAsia="Calibri"/>
                <w:b w:val="0"/>
                <w:szCs w:val="20"/>
                <w:lang w:eastAsia="en-US"/>
              </w:rPr>
            </w:pPr>
            <w:r w:rsidRPr="007C16BA">
              <w:rPr>
                <w:rFonts w:eastAsia="Calibri"/>
                <w:b w:val="0"/>
                <w:szCs w:val="20"/>
                <w:lang w:eastAsia="en-US"/>
              </w:rPr>
              <w:t>nutritional requirements and dietary needs (including The Australian Dietary Guidelines) food labelling and packaging</w:t>
            </w:r>
          </w:p>
          <w:p w14:paraId="31721248" w14:textId="77777777" w:rsidR="007C16BA" w:rsidRPr="007C16BA" w:rsidRDefault="007C16BA" w:rsidP="007C16BA">
            <w:pPr>
              <w:numPr>
                <w:ilvl w:val="0"/>
                <w:numId w:val="2"/>
              </w:numPr>
              <w:spacing w:after="160" w:line="259" w:lineRule="auto"/>
              <w:ind w:right="0"/>
              <w:contextualSpacing/>
              <w:rPr>
                <w:rFonts w:eastAsia="Calibri"/>
                <w:b w:val="0"/>
                <w:szCs w:val="20"/>
                <w:lang w:eastAsia="en-US"/>
              </w:rPr>
            </w:pPr>
            <w:r w:rsidRPr="007C16BA">
              <w:rPr>
                <w:rFonts w:eastAsia="Calibri"/>
                <w:b w:val="0"/>
                <w:szCs w:val="20"/>
                <w:lang w:eastAsia="en-US"/>
              </w:rPr>
              <w:t xml:space="preserve">food advertising </w:t>
            </w:r>
          </w:p>
          <w:p w14:paraId="0034254F" w14:textId="77777777" w:rsidR="007C16BA" w:rsidRPr="007C16BA" w:rsidRDefault="007C16BA" w:rsidP="007C16BA">
            <w:pPr>
              <w:numPr>
                <w:ilvl w:val="0"/>
                <w:numId w:val="2"/>
              </w:numPr>
              <w:spacing w:after="160" w:line="259" w:lineRule="auto"/>
              <w:ind w:right="0"/>
              <w:contextualSpacing/>
              <w:rPr>
                <w:rFonts w:eastAsia="Calibri"/>
                <w:b w:val="0"/>
                <w:szCs w:val="20"/>
                <w:lang w:eastAsia="en-US"/>
              </w:rPr>
            </w:pPr>
            <w:r w:rsidRPr="007C16BA">
              <w:rPr>
                <w:rFonts w:eastAsia="Calibri"/>
                <w:b w:val="0"/>
                <w:szCs w:val="20"/>
                <w:lang w:eastAsia="en-US"/>
              </w:rPr>
              <w:t>personal, social, economic and cultural influences on food choices and eating habits</w:t>
            </w:r>
          </w:p>
          <w:p w14:paraId="6B87F04F" w14:textId="77777777" w:rsidR="007C16BA" w:rsidRPr="007C16BA" w:rsidRDefault="007C16BA" w:rsidP="007C16BA">
            <w:pPr>
              <w:numPr>
                <w:ilvl w:val="0"/>
                <w:numId w:val="2"/>
              </w:numPr>
              <w:spacing w:after="160" w:line="259" w:lineRule="auto"/>
              <w:ind w:right="0"/>
              <w:contextualSpacing/>
              <w:rPr>
                <w:rFonts w:eastAsia="Calibri"/>
                <w:b w:val="0"/>
                <w:szCs w:val="20"/>
                <w:lang w:eastAsia="en-US"/>
              </w:rPr>
            </w:pPr>
            <w:r w:rsidRPr="007C16BA">
              <w:rPr>
                <w:rFonts w:eastAsia="Calibri"/>
                <w:b w:val="0"/>
                <w:szCs w:val="20"/>
                <w:lang w:eastAsia="en-US"/>
              </w:rPr>
              <w:t xml:space="preserve">strategies for planning and maintaining a healthy, balanced diet </w:t>
            </w:r>
          </w:p>
          <w:p w14:paraId="591AF1C6" w14:textId="77777777" w:rsidR="007C16BA" w:rsidRPr="007C16BA" w:rsidRDefault="007C16BA" w:rsidP="007C16BA">
            <w:pPr>
              <w:numPr>
                <w:ilvl w:val="0"/>
                <w:numId w:val="2"/>
              </w:numPr>
              <w:spacing w:after="160" w:line="259" w:lineRule="auto"/>
              <w:ind w:right="0"/>
              <w:contextualSpacing/>
              <w:rPr>
                <w:rFonts w:eastAsia="Calibri"/>
                <w:b w:val="0"/>
                <w:szCs w:val="20"/>
                <w:lang w:eastAsia="en-US"/>
              </w:rPr>
            </w:pPr>
            <w:r w:rsidRPr="007C16BA">
              <w:rPr>
                <w:rFonts w:eastAsia="Calibri"/>
                <w:b w:val="0"/>
                <w:szCs w:val="20"/>
                <w:lang w:eastAsia="en-US"/>
              </w:rPr>
              <w:t>healthy options for snacks, meals and drinks</w:t>
            </w:r>
          </w:p>
          <w:p w14:paraId="79BA1085" w14:textId="77777777" w:rsidR="005732C7" w:rsidRPr="005732C7" w:rsidRDefault="007C16BA" w:rsidP="005732C7">
            <w:pPr>
              <w:numPr>
                <w:ilvl w:val="0"/>
                <w:numId w:val="2"/>
              </w:numPr>
              <w:spacing w:after="160" w:line="259" w:lineRule="auto"/>
              <w:ind w:right="0"/>
              <w:contextualSpacing/>
              <w:rPr>
                <w:rFonts w:eastAsia="Calibri"/>
                <w:b w:val="0"/>
                <w:szCs w:val="20"/>
                <w:lang w:eastAsia="en-US"/>
              </w:rPr>
            </w:pPr>
            <w:r w:rsidRPr="007C16BA">
              <w:rPr>
                <w:rFonts w:eastAsia="Calibri"/>
                <w:b w:val="0"/>
                <w:szCs w:val="20"/>
                <w:lang w:eastAsia="en-US"/>
              </w:rPr>
              <w:t>sustainable food choices.</w:t>
            </w:r>
          </w:p>
        </w:tc>
        <w:tc>
          <w:tcPr>
            <w:tcW w:w="662" w:type="dxa"/>
          </w:tcPr>
          <w:p w14:paraId="7218A51E" w14:textId="77777777" w:rsidR="001F3D70" w:rsidRDefault="005732C7"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Yes</w:t>
            </w:r>
          </w:p>
        </w:tc>
        <w:tc>
          <w:tcPr>
            <w:tcW w:w="662" w:type="dxa"/>
          </w:tcPr>
          <w:p w14:paraId="368351D5" w14:textId="77777777" w:rsidR="001F3D70" w:rsidRDefault="005732C7"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Yes</w:t>
            </w:r>
          </w:p>
        </w:tc>
        <w:tc>
          <w:tcPr>
            <w:tcW w:w="662" w:type="dxa"/>
          </w:tcPr>
          <w:p w14:paraId="66E71B70" w14:textId="77777777" w:rsidR="001F3D70" w:rsidRDefault="005732C7"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Yes</w:t>
            </w:r>
          </w:p>
        </w:tc>
        <w:tc>
          <w:tcPr>
            <w:tcW w:w="662" w:type="dxa"/>
          </w:tcPr>
          <w:p w14:paraId="4B148755" w14:textId="77777777" w:rsidR="001F3D70" w:rsidRDefault="00C009AB"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No</w:t>
            </w:r>
          </w:p>
        </w:tc>
        <w:tc>
          <w:tcPr>
            <w:tcW w:w="662" w:type="dxa"/>
          </w:tcPr>
          <w:p w14:paraId="6D989414" w14:textId="77777777" w:rsidR="001F3D70" w:rsidRDefault="00C009AB"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No</w:t>
            </w:r>
          </w:p>
        </w:tc>
        <w:tc>
          <w:tcPr>
            <w:tcW w:w="662" w:type="dxa"/>
          </w:tcPr>
          <w:p w14:paraId="1175B90E" w14:textId="77777777" w:rsidR="001F3D70" w:rsidRDefault="00C009AB"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No</w:t>
            </w:r>
          </w:p>
        </w:tc>
      </w:tr>
    </w:tbl>
    <w:p w14:paraId="4AE71F4A" w14:textId="77777777" w:rsidR="005732C7" w:rsidRDefault="005732C7"/>
    <w:tbl>
      <w:tblPr>
        <w:tblStyle w:val="PlainTable1"/>
        <w:tblW w:w="0" w:type="auto"/>
        <w:tblLook w:val="04A0" w:firstRow="1" w:lastRow="0" w:firstColumn="1" w:lastColumn="0" w:noHBand="0" w:noVBand="1"/>
      </w:tblPr>
      <w:tblGrid>
        <w:gridCol w:w="9976"/>
        <w:gridCol w:w="662"/>
        <w:gridCol w:w="662"/>
        <w:gridCol w:w="662"/>
        <w:gridCol w:w="662"/>
        <w:gridCol w:w="662"/>
        <w:gridCol w:w="662"/>
      </w:tblGrid>
      <w:tr w:rsidR="005732C7" w14:paraId="613FCEF0" w14:textId="77777777" w:rsidTr="009B746E">
        <w:trPr>
          <w:cnfStyle w:val="100000000000" w:firstRow="1" w:lastRow="0" w:firstColumn="0" w:lastColumn="0" w:oddVBand="0" w:evenVBand="0" w:oddHBand="0" w:evenHBand="0" w:firstRowFirstColumn="0" w:firstRowLastColumn="0" w:lastRowFirstColumn="0" w:lastRowLastColumn="0"/>
          <w:trHeight w:val="3707"/>
        </w:trPr>
        <w:tc>
          <w:tcPr>
            <w:cnfStyle w:val="001000000000" w:firstRow="0" w:lastRow="0" w:firstColumn="1" w:lastColumn="0" w:oddVBand="0" w:evenVBand="0" w:oddHBand="0" w:evenHBand="0" w:firstRowFirstColumn="0" w:firstRowLastColumn="0" w:lastRowFirstColumn="0" w:lastRowLastColumn="0"/>
            <w:tcW w:w="9976" w:type="dxa"/>
            <w:vAlign w:val="bottom"/>
          </w:tcPr>
          <w:p w14:paraId="1FA840E9" w14:textId="77777777" w:rsidR="005732C7" w:rsidRPr="009155B9" w:rsidRDefault="005732C7" w:rsidP="005732C7">
            <w:pPr>
              <w:pStyle w:val="NoSpacing"/>
              <w:rPr>
                <w:sz w:val="40"/>
                <w:lang w:val="en"/>
              </w:rPr>
            </w:pPr>
            <w:r w:rsidRPr="009155B9">
              <w:rPr>
                <w:sz w:val="40"/>
                <w:lang w:val="en"/>
              </w:rPr>
              <w:lastRenderedPageBreak/>
              <w:t>Focus Area</w:t>
            </w:r>
          </w:p>
        </w:tc>
        <w:tc>
          <w:tcPr>
            <w:tcW w:w="662" w:type="dxa"/>
            <w:textDirection w:val="btLr"/>
          </w:tcPr>
          <w:p w14:paraId="14CEFB1F" w14:textId="77777777" w:rsidR="005732C7" w:rsidRPr="00530F0F" w:rsidRDefault="005732C7" w:rsidP="005732C7">
            <w:pPr>
              <w:ind w:left="113"/>
              <w:cnfStyle w:val="100000000000" w:firstRow="1" w:lastRow="0" w:firstColumn="0" w:lastColumn="0" w:oddVBand="0" w:evenVBand="0" w:oddHBand="0" w:evenHBand="0" w:firstRowFirstColumn="0" w:firstRowLastColumn="0" w:lastRowFirstColumn="0" w:lastRowLastColumn="0"/>
            </w:pPr>
            <w:r w:rsidRPr="00530F0F">
              <w:t>Make Water the Main Drink</w:t>
            </w:r>
          </w:p>
        </w:tc>
        <w:tc>
          <w:tcPr>
            <w:tcW w:w="662" w:type="dxa"/>
            <w:textDirection w:val="btLr"/>
          </w:tcPr>
          <w:p w14:paraId="63848AE2" w14:textId="77777777" w:rsidR="005732C7" w:rsidRPr="00530F0F" w:rsidRDefault="005732C7" w:rsidP="005732C7">
            <w:pPr>
              <w:ind w:left="113"/>
              <w:cnfStyle w:val="100000000000" w:firstRow="1" w:lastRow="0" w:firstColumn="0" w:lastColumn="0" w:oddVBand="0" w:evenVBand="0" w:oddHBand="0" w:evenHBand="0" w:firstRowFirstColumn="0" w:firstRowLastColumn="0" w:lastRowFirstColumn="0" w:lastRowLastColumn="0"/>
            </w:pPr>
            <w:r w:rsidRPr="00530F0F">
              <w:t>We Respect Every Body</w:t>
            </w:r>
          </w:p>
        </w:tc>
        <w:tc>
          <w:tcPr>
            <w:tcW w:w="662" w:type="dxa"/>
            <w:textDirection w:val="btLr"/>
          </w:tcPr>
          <w:p w14:paraId="6ED0E9E6" w14:textId="77777777" w:rsidR="005732C7" w:rsidRPr="00530F0F" w:rsidRDefault="005732C7" w:rsidP="005732C7">
            <w:pPr>
              <w:ind w:left="113"/>
              <w:cnfStyle w:val="100000000000" w:firstRow="1" w:lastRow="0" w:firstColumn="0" w:lastColumn="0" w:oddVBand="0" w:evenVBand="0" w:oddHBand="0" w:evenHBand="0" w:firstRowFirstColumn="0" w:firstRowLastColumn="0" w:lastRowFirstColumn="0" w:lastRowLastColumn="0"/>
            </w:pPr>
            <w:r w:rsidRPr="00530F0F">
              <w:t>Healthy Food is the Main Food</w:t>
            </w:r>
          </w:p>
        </w:tc>
        <w:tc>
          <w:tcPr>
            <w:tcW w:w="662" w:type="dxa"/>
            <w:textDirection w:val="btLr"/>
          </w:tcPr>
          <w:p w14:paraId="5FAA08AD" w14:textId="77777777" w:rsidR="005732C7" w:rsidRPr="00530F0F" w:rsidRDefault="005732C7" w:rsidP="005732C7">
            <w:pPr>
              <w:ind w:left="113"/>
              <w:cnfStyle w:val="100000000000" w:firstRow="1" w:lastRow="0" w:firstColumn="0" w:lastColumn="0" w:oddVBand="0" w:evenVBand="0" w:oddHBand="0" w:evenHBand="0" w:firstRowFirstColumn="0" w:firstRowLastColumn="0" w:lastRowFirstColumn="0" w:lastRowLastColumn="0"/>
            </w:pPr>
            <w:r w:rsidRPr="00530F0F">
              <w:t>We Log Enough Sleep</w:t>
            </w:r>
          </w:p>
        </w:tc>
        <w:tc>
          <w:tcPr>
            <w:tcW w:w="662" w:type="dxa"/>
            <w:textDirection w:val="btLr"/>
          </w:tcPr>
          <w:p w14:paraId="191BB2E3" w14:textId="77777777" w:rsidR="005732C7" w:rsidRPr="00530F0F" w:rsidRDefault="009B746E" w:rsidP="005732C7">
            <w:pPr>
              <w:ind w:left="113"/>
              <w:cnfStyle w:val="100000000000" w:firstRow="1" w:lastRow="0" w:firstColumn="0" w:lastColumn="0" w:oddVBand="0" w:evenVBand="0" w:oddHBand="0" w:evenHBand="0" w:firstRowFirstColumn="0" w:firstRowLastColumn="0" w:lastRowFirstColumn="0" w:lastRowLastColumn="0"/>
            </w:pPr>
            <w:r>
              <w:t>Stand Up, Sit Less, Screens Down</w:t>
            </w:r>
          </w:p>
        </w:tc>
        <w:tc>
          <w:tcPr>
            <w:tcW w:w="662" w:type="dxa"/>
            <w:textDirection w:val="btLr"/>
          </w:tcPr>
          <w:p w14:paraId="56AA605E" w14:textId="77777777" w:rsidR="005732C7" w:rsidRPr="00530F0F" w:rsidRDefault="005732C7" w:rsidP="005732C7">
            <w:pPr>
              <w:ind w:left="113"/>
              <w:cnfStyle w:val="100000000000" w:firstRow="1" w:lastRow="0" w:firstColumn="0" w:lastColumn="0" w:oddVBand="0" w:evenVBand="0" w:oddHBand="0" w:evenHBand="0" w:firstRowFirstColumn="0" w:firstRowLastColumn="0" w:lastRowFirstColumn="0" w:lastRowLastColumn="0"/>
            </w:pPr>
            <w:r w:rsidRPr="00530F0F">
              <w:t>We Work Our Hearts</w:t>
            </w:r>
          </w:p>
        </w:tc>
      </w:tr>
      <w:tr w:rsidR="005732C7" w14:paraId="109E67DF" w14:textId="77777777" w:rsidTr="0057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6" w:type="dxa"/>
          </w:tcPr>
          <w:p w14:paraId="67F2B064" w14:textId="77777777" w:rsidR="005732C7" w:rsidRPr="007C16BA" w:rsidRDefault="005732C7" w:rsidP="005732C7">
            <w:pPr>
              <w:ind w:right="-49"/>
              <w:rPr>
                <w:b w:val="0"/>
                <w:szCs w:val="20"/>
              </w:rPr>
            </w:pPr>
            <w:r w:rsidRPr="007C16BA">
              <w:rPr>
                <w:szCs w:val="20"/>
              </w:rPr>
              <w:t>Health benefits of physical activity</w:t>
            </w:r>
          </w:p>
          <w:p w14:paraId="6465D90C" w14:textId="77777777" w:rsidR="005732C7" w:rsidRPr="007C16BA" w:rsidRDefault="005732C7" w:rsidP="005732C7">
            <w:pPr>
              <w:ind w:right="-49"/>
              <w:rPr>
                <w:b w:val="0"/>
                <w:szCs w:val="20"/>
              </w:rPr>
            </w:pPr>
            <w:r w:rsidRPr="007C16BA">
              <w:rPr>
                <w:b w:val="0"/>
                <w:szCs w:val="20"/>
              </w:rPr>
              <w:t>This focus area addresses the influence and impact regular physical activity participation has on individual and community health and wellbeing. The content supports students to develop knowledge, understanding and skills to make active choices and to explore the range of influences on physical activity participation and choices.</w:t>
            </w:r>
          </w:p>
          <w:p w14:paraId="324490B4" w14:textId="77777777" w:rsidR="005732C7" w:rsidRPr="007C16BA" w:rsidRDefault="005732C7" w:rsidP="005732C7">
            <w:pPr>
              <w:ind w:right="-49"/>
              <w:rPr>
                <w:b w:val="0"/>
                <w:szCs w:val="20"/>
              </w:rPr>
            </w:pPr>
            <w:r w:rsidRPr="007C16BA">
              <w:rPr>
                <w:b w:val="0"/>
                <w:szCs w:val="20"/>
              </w:rPr>
              <w:t>It is expected that all students at appropriate intervals across the continuum of learning from Foundation to Year 10 will learn about the following:</w:t>
            </w:r>
          </w:p>
          <w:p w14:paraId="0B702016" w14:textId="77777777" w:rsidR="005732C7" w:rsidRPr="007C16BA" w:rsidRDefault="005732C7" w:rsidP="005732C7">
            <w:pPr>
              <w:pStyle w:val="ListParagraph"/>
              <w:numPr>
                <w:ilvl w:val="0"/>
                <w:numId w:val="3"/>
              </w:numPr>
              <w:spacing w:after="0" w:line="240" w:lineRule="auto"/>
              <w:ind w:right="-49"/>
              <w:rPr>
                <w:b w:val="0"/>
                <w:szCs w:val="20"/>
              </w:rPr>
            </w:pPr>
            <w:r w:rsidRPr="007C16BA">
              <w:rPr>
                <w:b w:val="0"/>
                <w:szCs w:val="20"/>
              </w:rPr>
              <w:t>physical benefits of participating in physical activities (including impact on health-related and skill-related components of fitness)</w:t>
            </w:r>
          </w:p>
          <w:p w14:paraId="678BA589" w14:textId="77777777" w:rsidR="005732C7" w:rsidRPr="007C16BA" w:rsidRDefault="005732C7" w:rsidP="005732C7">
            <w:pPr>
              <w:pStyle w:val="ListParagraph"/>
              <w:numPr>
                <w:ilvl w:val="0"/>
                <w:numId w:val="3"/>
              </w:numPr>
              <w:spacing w:after="0" w:line="240" w:lineRule="auto"/>
              <w:ind w:right="-49"/>
              <w:rPr>
                <w:b w:val="0"/>
                <w:szCs w:val="20"/>
              </w:rPr>
            </w:pPr>
            <w:r w:rsidRPr="007C16BA">
              <w:rPr>
                <w:b w:val="0"/>
                <w:szCs w:val="20"/>
              </w:rPr>
              <w:t>benefits of physical activities based on intensity, nature and frequency</w:t>
            </w:r>
          </w:p>
          <w:p w14:paraId="735A65CA" w14:textId="77777777" w:rsidR="005732C7" w:rsidRPr="007C16BA" w:rsidRDefault="005732C7" w:rsidP="005732C7">
            <w:pPr>
              <w:pStyle w:val="ListParagraph"/>
              <w:numPr>
                <w:ilvl w:val="0"/>
                <w:numId w:val="3"/>
              </w:numPr>
              <w:spacing w:after="0" w:line="240" w:lineRule="auto"/>
              <w:ind w:right="-49"/>
              <w:rPr>
                <w:b w:val="0"/>
                <w:szCs w:val="20"/>
              </w:rPr>
            </w:pPr>
            <w:r w:rsidRPr="007C16BA">
              <w:rPr>
                <w:b w:val="0"/>
                <w:szCs w:val="20"/>
              </w:rPr>
              <w:t>social, emotional and cognitive benefits of regular physical activity</w:t>
            </w:r>
          </w:p>
          <w:p w14:paraId="6DFFDB3C" w14:textId="77777777" w:rsidR="005732C7" w:rsidRPr="007C16BA" w:rsidRDefault="005732C7" w:rsidP="005732C7">
            <w:pPr>
              <w:pStyle w:val="ListParagraph"/>
              <w:numPr>
                <w:ilvl w:val="0"/>
                <w:numId w:val="3"/>
              </w:numPr>
              <w:spacing w:after="0" w:line="240" w:lineRule="auto"/>
              <w:ind w:right="-49"/>
              <w:rPr>
                <w:b w:val="0"/>
                <w:szCs w:val="20"/>
              </w:rPr>
            </w:pPr>
            <w:r w:rsidRPr="007C16BA">
              <w:rPr>
                <w:b w:val="0"/>
                <w:szCs w:val="20"/>
              </w:rPr>
              <w:t>social, cultural and environmental influences on physical activity participation</w:t>
            </w:r>
          </w:p>
          <w:p w14:paraId="0B8A7985" w14:textId="77777777" w:rsidR="005732C7" w:rsidRPr="007C16BA" w:rsidRDefault="005732C7" w:rsidP="005732C7">
            <w:pPr>
              <w:pStyle w:val="ListParagraph"/>
              <w:numPr>
                <w:ilvl w:val="0"/>
                <w:numId w:val="3"/>
              </w:numPr>
              <w:spacing w:after="0" w:line="240" w:lineRule="auto"/>
              <w:ind w:right="-49"/>
              <w:rPr>
                <w:b w:val="0"/>
                <w:szCs w:val="20"/>
              </w:rPr>
            </w:pPr>
            <w:r w:rsidRPr="007C16BA">
              <w:rPr>
                <w:b w:val="0"/>
                <w:szCs w:val="20"/>
              </w:rPr>
              <w:t>sedentary behaviours and their impact on health and wellbeing</w:t>
            </w:r>
          </w:p>
          <w:p w14:paraId="5A64AC5F" w14:textId="77777777" w:rsidR="005732C7" w:rsidRPr="007C16BA" w:rsidRDefault="005732C7" w:rsidP="005732C7">
            <w:pPr>
              <w:pStyle w:val="ListParagraph"/>
              <w:numPr>
                <w:ilvl w:val="0"/>
                <w:numId w:val="3"/>
              </w:numPr>
              <w:spacing w:after="0" w:line="240" w:lineRule="auto"/>
              <w:ind w:right="-49"/>
              <w:rPr>
                <w:b w:val="0"/>
                <w:szCs w:val="20"/>
              </w:rPr>
            </w:pPr>
            <w:r w:rsidRPr="007C16BA">
              <w:rPr>
                <w:b w:val="0"/>
                <w:szCs w:val="20"/>
              </w:rPr>
              <w:t>strategies for minimising sedentary behaviour and including physical activity in daily routines.</w:t>
            </w:r>
          </w:p>
          <w:p w14:paraId="6335962C" w14:textId="77777777" w:rsidR="005732C7" w:rsidRDefault="005732C7" w:rsidP="005732C7">
            <w:pPr>
              <w:spacing w:after="0" w:line="240" w:lineRule="auto"/>
              <w:ind w:right="-49"/>
              <w:rPr>
                <w:rFonts w:cs="Arial"/>
                <w:b w:val="0"/>
                <w:sz w:val="40"/>
                <w:lang w:val="en"/>
              </w:rPr>
            </w:pPr>
          </w:p>
        </w:tc>
        <w:tc>
          <w:tcPr>
            <w:tcW w:w="662" w:type="dxa"/>
          </w:tcPr>
          <w:p w14:paraId="19CEF1C6" w14:textId="77777777" w:rsidR="005732C7" w:rsidRDefault="00657254"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No</w:t>
            </w:r>
          </w:p>
        </w:tc>
        <w:tc>
          <w:tcPr>
            <w:tcW w:w="662" w:type="dxa"/>
          </w:tcPr>
          <w:p w14:paraId="331DFFF6" w14:textId="77777777" w:rsidR="005732C7" w:rsidRDefault="00B95341"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Yes</w:t>
            </w:r>
          </w:p>
        </w:tc>
        <w:tc>
          <w:tcPr>
            <w:tcW w:w="662" w:type="dxa"/>
          </w:tcPr>
          <w:p w14:paraId="20F161B4" w14:textId="77777777" w:rsidR="005732C7" w:rsidRDefault="00657254"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No</w:t>
            </w:r>
          </w:p>
        </w:tc>
        <w:tc>
          <w:tcPr>
            <w:tcW w:w="662" w:type="dxa"/>
          </w:tcPr>
          <w:p w14:paraId="673DE7FE" w14:textId="77777777" w:rsidR="005732C7" w:rsidRDefault="00657254"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No</w:t>
            </w:r>
          </w:p>
        </w:tc>
        <w:tc>
          <w:tcPr>
            <w:tcW w:w="662" w:type="dxa"/>
          </w:tcPr>
          <w:p w14:paraId="4CF9DE8E" w14:textId="77777777" w:rsidR="005732C7" w:rsidRDefault="00B95341"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 xml:space="preserve">Yes </w:t>
            </w:r>
          </w:p>
        </w:tc>
        <w:tc>
          <w:tcPr>
            <w:tcW w:w="662" w:type="dxa"/>
          </w:tcPr>
          <w:p w14:paraId="28DBBAEA" w14:textId="77777777" w:rsidR="00B95341" w:rsidRDefault="00B95341" w:rsidP="005732C7">
            <w:pPr>
              <w:cnfStyle w:val="000000100000" w:firstRow="0" w:lastRow="0" w:firstColumn="0" w:lastColumn="0" w:oddVBand="0" w:evenVBand="0" w:oddHBand="1" w:evenHBand="0" w:firstRowFirstColumn="0" w:firstRowLastColumn="0" w:lastRowFirstColumn="0" w:lastRowLastColumn="0"/>
              <w:rPr>
                <w:lang w:val="en"/>
              </w:rPr>
            </w:pPr>
            <w:r>
              <w:rPr>
                <w:lang w:val="en"/>
              </w:rPr>
              <w:t>Yes</w:t>
            </w:r>
          </w:p>
        </w:tc>
      </w:tr>
      <w:tr w:rsidR="005732C7" w14:paraId="273059B6" w14:textId="77777777" w:rsidTr="009B746E">
        <w:trPr>
          <w:trHeight w:val="3686"/>
        </w:trPr>
        <w:tc>
          <w:tcPr>
            <w:cnfStyle w:val="001000000000" w:firstRow="0" w:lastRow="0" w:firstColumn="1" w:lastColumn="0" w:oddVBand="0" w:evenVBand="0" w:oddHBand="0" w:evenHBand="0" w:firstRowFirstColumn="0" w:firstRowLastColumn="0" w:lastRowFirstColumn="0" w:lastRowLastColumn="0"/>
            <w:tcW w:w="9976" w:type="dxa"/>
            <w:vAlign w:val="bottom"/>
          </w:tcPr>
          <w:p w14:paraId="280386B8" w14:textId="77777777" w:rsidR="005732C7" w:rsidRPr="009155B9" w:rsidRDefault="005732C7" w:rsidP="005732C7">
            <w:pPr>
              <w:pStyle w:val="NoSpacing"/>
              <w:rPr>
                <w:sz w:val="40"/>
                <w:lang w:val="en"/>
              </w:rPr>
            </w:pPr>
            <w:r w:rsidRPr="009155B9">
              <w:rPr>
                <w:sz w:val="40"/>
                <w:lang w:val="en"/>
              </w:rPr>
              <w:lastRenderedPageBreak/>
              <w:t>Focus Area</w:t>
            </w:r>
          </w:p>
        </w:tc>
        <w:tc>
          <w:tcPr>
            <w:tcW w:w="662" w:type="dxa"/>
            <w:textDirection w:val="btLr"/>
          </w:tcPr>
          <w:p w14:paraId="2A53F6DE" w14:textId="77777777" w:rsidR="005732C7" w:rsidRPr="00530F0F" w:rsidRDefault="005732C7" w:rsidP="005732C7">
            <w:pPr>
              <w:ind w:left="113"/>
              <w:cnfStyle w:val="000000000000" w:firstRow="0" w:lastRow="0" w:firstColumn="0" w:lastColumn="0" w:oddVBand="0" w:evenVBand="0" w:oddHBand="0" w:evenHBand="0" w:firstRowFirstColumn="0" w:firstRowLastColumn="0" w:lastRowFirstColumn="0" w:lastRowLastColumn="0"/>
            </w:pPr>
            <w:r w:rsidRPr="00530F0F">
              <w:t>Make Water the Main Drink</w:t>
            </w:r>
          </w:p>
        </w:tc>
        <w:tc>
          <w:tcPr>
            <w:tcW w:w="662" w:type="dxa"/>
            <w:textDirection w:val="btLr"/>
          </w:tcPr>
          <w:p w14:paraId="72327B10" w14:textId="77777777" w:rsidR="005732C7" w:rsidRPr="00530F0F" w:rsidRDefault="005732C7" w:rsidP="005732C7">
            <w:pPr>
              <w:ind w:left="113"/>
              <w:cnfStyle w:val="000000000000" w:firstRow="0" w:lastRow="0" w:firstColumn="0" w:lastColumn="0" w:oddVBand="0" w:evenVBand="0" w:oddHBand="0" w:evenHBand="0" w:firstRowFirstColumn="0" w:firstRowLastColumn="0" w:lastRowFirstColumn="0" w:lastRowLastColumn="0"/>
            </w:pPr>
            <w:r w:rsidRPr="00530F0F">
              <w:t>We Respect Every Body</w:t>
            </w:r>
          </w:p>
        </w:tc>
        <w:tc>
          <w:tcPr>
            <w:tcW w:w="662" w:type="dxa"/>
            <w:textDirection w:val="btLr"/>
          </w:tcPr>
          <w:p w14:paraId="15A7FB8B" w14:textId="77777777" w:rsidR="005732C7" w:rsidRPr="00530F0F" w:rsidRDefault="005732C7" w:rsidP="005732C7">
            <w:pPr>
              <w:ind w:left="113"/>
              <w:cnfStyle w:val="000000000000" w:firstRow="0" w:lastRow="0" w:firstColumn="0" w:lastColumn="0" w:oddVBand="0" w:evenVBand="0" w:oddHBand="0" w:evenHBand="0" w:firstRowFirstColumn="0" w:firstRowLastColumn="0" w:lastRowFirstColumn="0" w:lastRowLastColumn="0"/>
            </w:pPr>
            <w:r w:rsidRPr="00530F0F">
              <w:t>Healthy Food is the Main Food</w:t>
            </w:r>
          </w:p>
        </w:tc>
        <w:tc>
          <w:tcPr>
            <w:tcW w:w="662" w:type="dxa"/>
            <w:textDirection w:val="btLr"/>
          </w:tcPr>
          <w:p w14:paraId="6869B82B" w14:textId="77777777" w:rsidR="005732C7" w:rsidRPr="00530F0F" w:rsidRDefault="005732C7" w:rsidP="005732C7">
            <w:pPr>
              <w:ind w:left="113"/>
              <w:cnfStyle w:val="000000000000" w:firstRow="0" w:lastRow="0" w:firstColumn="0" w:lastColumn="0" w:oddVBand="0" w:evenVBand="0" w:oddHBand="0" w:evenHBand="0" w:firstRowFirstColumn="0" w:firstRowLastColumn="0" w:lastRowFirstColumn="0" w:lastRowLastColumn="0"/>
            </w:pPr>
            <w:r w:rsidRPr="00530F0F">
              <w:t>We Log Enough Sleep</w:t>
            </w:r>
          </w:p>
        </w:tc>
        <w:tc>
          <w:tcPr>
            <w:tcW w:w="662" w:type="dxa"/>
            <w:textDirection w:val="btLr"/>
          </w:tcPr>
          <w:p w14:paraId="3ACB3E0F" w14:textId="77777777" w:rsidR="005732C7" w:rsidRPr="00530F0F" w:rsidRDefault="009B746E" w:rsidP="005732C7">
            <w:pPr>
              <w:ind w:left="113"/>
              <w:cnfStyle w:val="000000000000" w:firstRow="0" w:lastRow="0" w:firstColumn="0" w:lastColumn="0" w:oddVBand="0" w:evenVBand="0" w:oddHBand="0" w:evenHBand="0" w:firstRowFirstColumn="0" w:firstRowLastColumn="0" w:lastRowFirstColumn="0" w:lastRowLastColumn="0"/>
            </w:pPr>
            <w:r>
              <w:t>Stand Up, Sit Less, Screens Down</w:t>
            </w:r>
          </w:p>
        </w:tc>
        <w:tc>
          <w:tcPr>
            <w:tcW w:w="662" w:type="dxa"/>
            <w:textDirection w:val="btLr"/>
          </w:tcPr>
          <w:p w14:paraId="2218A9A1" w14:textId="77777777" w:rsidR="005732C7" w:rsidRPr="00530F0F" w:rsidRDefault="005732C7" w:rsidP="005732C7">
            <w:pPr>
              <w:ind w:left="113"/>
              <w:cnfStyle w:val="000000000000" w:firstRow="0" w:lastRow="0" w:firstColumn="0" w:lastColumn="0" w:oddVBand="0" w:evenVBand="0" w:oddHBand="0" w:evenHBand="0" w:firstRowFirstColumn="0" w:firstRowLastColumn="0" w:lastRowFirstColumn="0" w:lastRowLastColumn="0"/>
            </w:pPr>
            <w:r w:rsidRPr="00530F0F">
              <w:t>We Work Our Hearts</w:t>
            </w:r>
          </w:p>
        </w:tc>
      </w:tr>
      <w:tr w:rsidR="005732C7" w14:paraId="2CCC0B4C" w14:textId="77777777" w:rsidTr="005732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76" w:type="dxa"/>
          </w:tcPr>
          <w:p w14:paraId="04EE54E4" w14:textId="77777777" w:rsidR="005732C7" w:rsidRPr="00295326" w:rsidRDefault="005732C7" w:rsidP="005732C7">
            <w:pPr>
              <w:ind w:right="-49"/>
              <w:rPr>
                <w:b w:val="0"/>
                <w:sz w:val="20"/>
                <w:szCs w:val="20"/>
              </w:rPr>
            </w:pPr>
            <w:r w:rsidRPr="00295326">
              <w:rPr>
                <w:sz w:val="20"/>
                <w:szCs w:val="20"/>
              </w:rPr>
              <w:t>Mental health and wellbeing</w:t>
            </w:r>
          </w:p>
          <w:p w14:paraId="463B6407" w14:textId="77777777" w:rsidR="005732C7" w:rsidRPr="000C05AB" w:rsidRDefault="005732C7" w:rsidP="005732C7">
            <w:pPr>
              <w:ind w:right="-49"/>
              <w:rPr>
                <w:b w:val="0"/>
                <w:sz w:val="20"/>
                <w:szCs w:val="20"/>
              </w:rPr>
            </w:pPr>
            <w:r w:rsidRPr="000C05AB">
              <w:rPr>
                <w:b w:val="0"/>
                <w:sz w:val="20"/>
                <w:szCs w:val="20"/>
              </w:rPr>
              <w:t>This focus area addresses how mental health and wellbeing can be enhanced and strengthened at an individual and community level. The content supports students</w:t>
            </w:r>
          </w:p>
          <w:p w14:paraId="6F793908" w14:textId="77777777" w:rsidR="005732C7" w:rsidRPr="000C05AB" w:rsidRDefault="005732C7" w:rsidP="005732C7">
            <w:pPr>
              <w:ind w:right="-49"/>
              <w:rPr>
                <w:b w:val="0"/>
                <w:sz w:val="20"/>
                <w:szCs w:val="20"/>
              </w:rPr>
            </w:pPr>
            <w:r w:rsidRPr="000C05AB">
              <w:rPr>
                <w:b w:val="0"/>
                <w:sz w:val="20"/>
                <w:szCs w:val="20"/>
              </w:rPr>
              <w:t>to develop knowledge, understanding and skills to manage their own mental health and wellbeing and to support that of others.</w:t>
            </w:r>
          </w:p>
          <w:p w14:paraId="188DD59B" w14:textId="77777777" w:rsidR="005732C7" w:rsidRPr="000C05AB" w:rsidRDefault="005732C7" w:rsidP="005732C7">
            <w:pPr>
              <w:ind w:right="-49"/>
              <w:rPr>
                <w:b w:val="0"/>
                <w:sz w:val="20"/>
                <w:szCs w:val="20"/>
              </w:rPr>
            </w:pPr>
            <w:r w:rsidRPr="000C05AB">
              <w:rPr>
                <w:b w:val="0"/>
                <w:sz w:val="20"/>
                <w:szCs w:val="20"/>
              </w:rPr>
              <w:t>It is expected that all students at appropriate intervals across the continuum of learning from Foundation to Year 10 will learn about the following:</w:t>
            </w:r>
          </w:p>
          <w:p w14:paraId="14484BCA" w14:textId="77777777" w:rsidR="005732C7" w:rsidRPr="000C05AB" w:rsidRDefault="005732C7" w:rsidP="005732C7">
            <w:pPr>
              <w:pStyle w:val="ListParagraph"/>
              <w:numPr>
                <w:ilvl w:val="0"/>
                <w:numId w:val="4"/>
              </w:numPr>
              <w:spacing w:after="0" w:line="240" w:lineRule="auto"/>
              <w:ind w:right="-49"/>
              <w:rPr>
                <w:b w:val="0"/>
                <w:sz w:val="20"/>
                <w:szCs w:val="20"/>
              </w:rPr>
            </w:pPr>
            <w:r w:rsidRPr="000C05AB">
              <w:rPr>
                <w:b w:val="0"/>
                <w:sz w:val="20"/>
                <w:szCs w:val="20"/>
              </w:rPr>
              <w:t>mental health and wellbeing, and mental health promotion</w:t>
            </w:r>
          </w:p>
          <w:p w14:paraId="34904BDE" w14:textId="77777777" w:rsidR="005732C7" w:rsidRPr="000C05AB" w:rsidRDefault="005732C7" w:rsidP="005732C7">
            <w:pPr>
              <w:pStyle w:val="ListParagraph"/>
              <w:numPr>
                <w:ilvl w:val="0"/>
                <w:numId w:val="4"/>
              </w:numPr>
              <w:spacing w:after="0" w:line="240" w:lineRule="auto"/>
              <w:ind w:right="-49"/>
              <w:rPr>
                <w:b w:val="0"/>
                <w:sz w:val="20"/>
                <w:szCs w:val="20"/>
              </w:rPr>
            </w:pPr>
            <w:r w:rsidRPr="000C05AB">
              <w:rPr>
                <w:b w:val="0"/>
                <w:sz w:val="20"/>
                <w:szCs w:val="20"/>
              </w:rPr>
              <w:t>destigmatising mental illness in the community</w:t>
            </w:r>
          </w:p>
          <w:p w14:paraId="1EBB4211" w14:textId="77777777" w:rsidR="005732C7" w:rsidRPr="000C05AB" w:rsidRDefault="005732C7" w:rsidP="005732C7">
            <w:pPr>
              <w:pStyle w:val="ListParagraph"/>
              <w:numPr>
                <w:ilvl w:val="0"/>
                <w:numId w:val="4"/>
              </w:numPr>
              <w:spacing w:after="0" w:line="240" w:lineRule="auto"/>
              <w:ind w:right="-49"/>
              <w:rPr>
                <w:b w:val="0"/>
                <w:sz w:val="20"/>
                <w:szCs w:val="20"/>
              </w:rPr>
            </w:pPr>
            <w:r w:rsidRPr="000C05AB">
              <w:rPr>
                <w:b w:val="0"/>
                <w:sz w:val="20"/>
                <w:szCs w:val="20"/>
              </w:rPr>
              <w:t>the impact of physical, social, spiritual and emotional health on wellbeing</w:t>
            </w:r>
          </w:p>
          <w:p w14:paraId="10E2456B" w14:textId="77777777" w:rsidR="005732C7" w:rsidRPr="000C05AB" w:rsidRDefault="005732C7" w:rsidP="005732C7">
            <w:pPr>
              <w:pStyle w:val="ListParagraph"/>
              <w:numPr>
                <w:ilvl w:val="0"/>
                <w:numId w:val="4"/>
              </w:numPr>
              <w:spacing w:after="0" w:line="240" w:lineRule="auto"/>
              <w:ind w:right="-49"/>
              <w:rPr>
                <w:b w:val="0"/>
                <w:sz w:val="20"/>
                <w:szCs w:val="20"/>
              </w:rPr>
            </w:pPr>
            <w:r w:rsidRPr="000C05AB">
              <w:rPr>
                <w:b w:val="0"/>
                <w:sz w:val="20"/>
                <w:szCs w:val="20"/>
              </w:rPr>
              <w:t>body image and self-worth and their impact on mental health and wellbeing</w:t>
            </w:r>
          </w:p>
          <w:p w14:paraId="538DD909" w14:textId="77777777" w:rsidR="005732C7" w:rsidRPr="000C05AB" w:rsidRDefault="005732C7" w:rsidP="005732C7">
            <w:pPr>
              <w:pStyle w:val="ListParagraph"/>
              <w:numPr>
                <w:ilvl w:val="0"/>
                <w:numId w:val="4"/>
              </w:numPr>
              <w:spacing w:after="0" w:line="240" w:lineRule="auto"/>
              <w:ind w:right="-49"/>
              <w:rPr>
                <w:b w:val="0"/>
                <w:sz w:val="20"/>
                <w:szCs w:val="20"/>
              </w:rPr>
            </w:pPr>
            <w:r w:rsidRPr="000C05AB">
              <w:rPr>
                <w:b w:val="0"/>
                <w:sz w:val="20"/>
                <w:szCs w:val="20"/>
              </w:rPr>
              <w:t>resilience, and skills that support resilient behaviour</w:t>
            </w:r>
          </w:p>
          <w:p w14:paraId="03CC0CD5" w14:textId="77777777" w:rsidR="005732C7" w:rsidRPr="000C05AB" w:rsidRDefault="005732C7" w:rsidP="005732C7">
            <w:pPr>
              <w:pStyle w:val="ListParagraph"/>
              <w:numPr>
                <w:ilvl w:val="0"/>
                <w:numId w:val="4"/>
              </w:numPr>
              <w:spacing w:after="0" w:line="240" w:lineRule="auto"/>
              <w:ind w:right="-49"/>
              <w:rPr>
                <w:b w:val="0"/>
                <w:sz w:val="20"/>
                <w:szCs w:val="20"/>
              </w:rPr>
            </w:pPr>
            <w:r w:rsidRPr="000C05AB">
              <w:rPr>
                <w:b w:val="0"/>
                <w:sz w:val="20"/>
                <w:szCs w:val="20"/>
              </w:rPr>
              <w:t>coping skills, help-seeking strategies and community support resources</w:t>
            </w:r>
          </w:p>
          <w:p w14:paraId="461503B2" w14:textId="77777777" w:rsidR="005732C7" w:rsidRPr="00295326" w:rsidRDefault="005732C7" w:rsidP="005732C7">
            <w:pPr>
              <w:pStyle w:val="ListParagraph"/>
              <w:numPr>
                <w:ilvl w:val="0"/>
                <w:numId w:val="4"/>
              </w:numPr>
              <w:spacing w:after="0" w:line="240" w:lineRule="auto"/>
              <w:ind w:right="-49"/>
              <w:rPr>
                <w:sz w:val="20"/>
                <w:szCs w:val="20"/>
              </w:rPr>
            </w:pPr>
            <w:r w:rsidRPr="000C05AB">
              <w:rPr>
                <w:b w:val="0"/>
                <w:sz w:val="20"/>
                <w:szCs w:val="20"/>
              </w:rPr>
              <w:t>networks of support for promoting mental health and wellbeing.</w:t>
            </w:r>
          </w:p>
        </w:tc>
        <w:tc>
          <w:tcPr>
            <w:tcW w:w="662" w:type="dxa"/>
          </w:tcPr>
          <w:p w14:paraId="2F3BA5F9" w14:textId="77777777" w:rsidR="005732C7" w:rsidRDefault="00657254" w:rsidP="008D70A8">
            <w:pPr>
              <w:cnfStyle w:val="000000100000" w:firstRow="0" w:lastRow="0" w:firstColumn="0" w:lastColumn="0" w:oddVBand="0" w:evenVBand="0" w:oddHBand="1" w:evenHBand="0" w:firstRowFirstColumn="0" w:firstRowLastColumn="0" w:lastRowFirstColumn="0" w:lastRowLastColumn="0"/>
              <w:rPr>
                <w:lang w:val="en"/>
              </w:rPr>
            </w:pPr>
            <w:r>
              <w:rPr>
                <w:lang w:val="en"/>
              </w:rPr>
              <w:t>No</w:t>
            </w:r>
          </w:p>
        </w:tc>
        <w:tc>
          <w:tcPr>
            <w:tcW w:w="662" w:type="dxa"/>
          </w:tcPr>
          <w:p w14:paraId="1E5B00EC" w14:textId="77777777" w:rsidR="005732C7" w:rsidRDefault="008D70A8" w:rsidP="008D70A8">
            <w:pPr>
              <w:cnfStyle w:val="000000100000" w:firstRow="0" w:lastRow="0" w:firstColumn="0" w:lastColumn="0" w:oddVBand="0" w:evenVBand="0" w:oddHBand="1" w:evenHBand="0" w:firstRowFirstColumn="0" w:firstRowLastColumn="0" w:lastRowFirstColumn="0" w:lastRowLastColumn="0"/>
              <w:rPr>
                <w:lang w:val="en"/>
              </w:rPr>
            </w:pPr>
            <w:r>
              <w:rPr>
                <w:lang w:val="en"/>
              </w:rPr>
              <w:t>Yes</w:t>
            </w:r>
          </w:p>
        </w:tc>
        <w:tc>
          <w:tcPr>
            <w:tcW w:w="662" w:type="dxa"/>
          </w:tcPr>
          <w:p w14:paraId="243F31CE" w14:textId="77777777" w:rsidR="005732C7" w:rsidRDefault="009B746E" w:rsidP="008D70A8">
            <w:pPr>
              <w:cnfStyle w:val="000000100000" w:firstRow="0" w:lastRow="0" w:firstColumn="0" w:lastColumn="0" w:oddVBand="0" w:evenVBand="0" w:oddHBand="1" w:evenHBand="0" w:firstRowFirstColumn="0" w:firstRowLastColumn="0" w:lastRowFirstColumn="0" w:lastRowLastColumn="0"/>
              <w:rPr>
                <w:lang w:val="en"/>
              </w:rPr>
            </w:pPr>
            <w:r>
              <w:rPr>
                <w:lang w:val="en"/>
              </w:rPr>
              <w:t>No</w:t>
            </w:r>
          </w:p>
        </w:tc>
        <w:tc>
          <w:tcPr>
            <w:tcW w:w="662" w:type="dxa"/>
          </w:tcPr>
          <w:p w14:paraId="27667E09" w14:textId="77777777" w:rsidR="005732C7" w:rsidRDefault="008D70A8" w:rsidP="008D70A8">
            <w:pPr>
              <w:cnfStyle w:val="000000100000" w:firstRow="0" w:lastRow="0" w:firstColumn="0" w:lastColumn="0" w:oddVBand="0" w:evenVBand="0" w:oddHBand="1" w:evenHBand="0" w:firstRowFirstColumn="0" w:firstRowLastColumn="0" w:lastRowFirstColumn="0" w:lastRowLastColumn="0"/>
              <w:rPr>
                <w:lang w:val="en"/>
              </w:rPr>
            </w:pPr>
            <w:r>
              <w:rPr>
                <w:lang w:val="en"/>
              </w:rPr>
              <w:t>Yes</w:t>
            </w:r>
          </w:p>
        </w:tc>
        <w:tc>
          <w:tcPr>
            <w:tcW w:w="662" w:type="dxa"/>
          </w:tcPr>
          <w:p w14:paraId="21FDDCB7" w14:textId="77777777" w:rsidR="005732C7" w:rsidRDefault="009B746E" w:rsidP="008D70A8">
            <w:pPr>
              <w:cnfStyle w:val="000000100000" w:firstRow="0" w:lastRow="0" w:firstColumn="0" w:lastColumn="0" w:oddVBand="0" w:evenVBand="0" w:oddHBand="1" w:evenHBand="0" w:firstRowFirstColumn="0" w:firstRowLastColumn="0" w:lastRowFirstColumn="0" w:lastRowLastColumn="0"/>
              <w:rPr>
                <w:lang w:val="en"/>
              </w:rPr>
            </w:pPr>
            <w:r>
              <w:rPr>
                <w:lang w:val="en"/>
              </w:rPr>
              <w:t>No</w:t>
            </w:r>
          </w:p>
        </w:tc>
        <w:tc>
          <w:tcPr>
            <w:tcW w:w="662" w:type="dxa"/>
          </w:tcPr>
          <w:p w14:paraId="230909DC" w14:textId="77777777" w:rsidR="005732C7" w:rsidRDefault="009B746E" w:rsidP="008D70A8">
            <w:pPr>
              <w:cnfStyle w:val="000000100000" w:firstRow="0" w:lastRow="0" w:firstColumn="0" w:lastColumn="0" w:oddVBand="0" w:evenVBand="0" w:oddHBand="1" w:evenHBand="0" w:firstRowFirstColumn="0" w:firstRowLastColumn="0" w:lastRowFirstColumn="0" w:lastRowLastColumn="0"/>
              <w:rPr>
                <w:lang w:val="en"/>
              </w:rPr>
            </w:pPr>
            <w:r>
              <w:rPr>
                <w:lang w:val="en"/>
              </w:rPr>
              <w:t>No</w:t>
            </w:r>
          </w:p>
        </w:tc>
      </w:tr>
    </w:tbl>
    <w:p w14:paraId="2ADA3C4D" w14:textId="77777777" w:rsidR="00493282" w:rsidRDefault="00493282" w:rsidP="00B0619F">
      <w:pPr>
        <w:spacing w:after="0" w:line="240" w:lineRule="auto"/>
        <w:ind w:right="0"/>
        <w:rPr>
          <w:rFonts w:cs="Arial"/>
          <w:b/>
          <w:sz w:val="40"/>
          <w:lang w:val="en"/>
        </w:rPr>
      </w:pPr>
    </w:p>
    <w:sectPr w:rsidR="00493282" w:rsidSect="00A0042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440" w:right="1440" w:bottom="244" w:left="1440" w:header="0" w:footer="53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F7A2D" w14:textId="77777777" w:rsidR="00EF550F" w:rsidRDefault="00EF550F" w:rsidP="00524330">
      <w:pPr>
        <w:spacing w:after="0" w:line="240" w:lineRule="auto"/>
      </w:pPr>
      <w:r>
        <w:separator/>
      </w:r>
    </w:p>
  </w:endnote>
  <w:endnote w:type="continuationSeparator" w:id="0">
    <w:p w14:paraId="544B85D0" w14:textId="77777777" w:rsidR="00EF550F" w:rsidRDefault="00EF550F" w:rsidP="00524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2136520286"/>
      <w:docPartObj>
        <w:docPartGallery w:val="Page Numbers (Bottom of Page)"/>
        <w:docPartUnique/>
      </w:docPartObj>
    </w:sdtPr>
    <w:sdtEndPr/>
    <w:sdtContent>
      <w:sdt>
        <w:sdtPr>
          <w:rPr>
            <w:sz w:val="18"/>
            <w:szCs w:val="18"/>
          </w:rPr>
          <w:id w:val="-1978984661"/>
          <w:docPartObj>
            <w:docPartGallery w:val="Page Numbers (Top of Page)"/>
            <w:docPartUnique/>
          </w:docPartObj>
        </w:sdtPr>
        <w:sdtEndPr/>
        <w:sdtContent>
          <w:p w14:paraId="6BD9030D" w14:textId="77777777" w:rsidR="001B6406" w:rsidRDefault="001B6406" w:rsidP="001B6406">
            <w:pPr>
              <w:pStyle w:val="Footer"/>
              <w:ind w:right="-217"/>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5</w:t>
            </w:r>
            <w:r w:rsidRPr="007D403E">
              <w:rPr>
                <w:b/>
                <w:bCs/>
                <w:sz w:val="18"/>
                <w:szCs w:val="18"/>
              </w:rPr>
              <w:fldChar w:fldCharType="end"/>
            </w:r>
          </w:p>
          <w:p w14:paraId="7F56F4B7" w14:textId="77777777" w:rsidR="001B6406" w:rsidRDefault="001B6406" w:rsidP="001B6406">
            <w:pPr>
              <w:pStyle w:val="Footer"/>
              <w:ind w:right="-217"/>
              <w:jc w:val="right"/>
              <w:rPr>
                <w:b/>
                <w:bCs/>
                <w:sz w:val="18"/>
                <w:szCs w:val="18"/>
              </w:rPr>
            </w:pPr>
          </w:p>
          <w:p w14:paraId="45F71F5E" w14:textId="77777777" w:rsidR="001B6406" w:rsidRPr="007D403E" w:rsidRDefault="00EF550F" w:rsidP="001B6406">
            <w:pPr>
              <w:pStyle w:val="Footer"/>
              <w:ind w:right="-217"/>
              <w:jc w:val="right"/>
              <w:rPr>
                <w:sz w:val="18"/>
                <w:szCs w:val="18"/>
              </w:rPr>
            </w:pPr>
          </w:p>
        </w:sdtContent>
      </w:sdt>
    </w:sdtContent>
  </w:sdt>
  <w:p w14:paraId="347B41F9" w14:textId="77777777" w:rsidR="001B6406" w:rsidRDefault="001B64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671148211"/>
      <w:docPartObj>
        <w:docPartGallery w:val="Page Numbers (Bottom of Page)"/>
        <w:docPartUnique/>
      </w:docPartObj>
    </w:sdtPr>
    <w:sdtEndPr/>
    <w:sdtContent>
      <w:sdt>
        <w:sdtPr>
          <w:rPr>
            <w:sz w:val="18"/>
            <w:szCs w:val="18"/>
          </w:rPr>
          <w:id w:val="-2042034021"/>
          <w:docPartObj>
            <w:docPartGallery w:val="Page Numbers (Top of Page)"/>
            <w:docPartUnique/>
          </w:docPartObj>
        </w:sdtPr>
        <w:sdtEndPr/>
        <w:sdtContent>
          <w:p w14:paraId="21FA18A7" w14:textId="77777777" w:rsidR="001B6406" w:rsidRDefault="001B6406" w:rsidP="001B6406">
            <w:pPr>
              <w:pStyle w:val="Footer"/>
              <w:ind w:right="-217"/>
              <w:jc w:val="right"/>
              <w:rPr>
                <w:b/>
                <w:bCs/>
                <w:sz w:val="18"/>
                <w:szCs w:val="18"/>
              </w:rPr>
            </w:pPr>
            <w:r w:rsidRPr="007D403E">
              <w:rPr>
                <w:sz w:val="18"/>
                <w:szCs w:val="18"/>
              </w:rPr>
              <w:t xml:space="preserve">Page </w:t>
            </w:r>
            <w:r w:rsidRPr="007D403E">
              <w:rPr>
                <w:b/>
                <w:bCs/>
                <w:sz w:val="18"/>
                <w:szCs w:val="18"/>
              </w:rPr>
              <w:fldChar w:fldCharType="begin"/>
            </w:r>
            <w:r w:rsidRPr="007D403E">
              <w:rPr>
                <w:b/>
                <w:bCs/>
                <w:sz w:val="18"/>
                <w:szCs w:val="18"/>
              </w:rPr>
              <w:instrText xml:space="preserve"> PAGE </w:instrText>
            </w:r>
            <w:r w:rsidRPr="007D403E">
              <w:rPr>
                <w:b/>
                <w:bCs/>
                <w:sz w:val="18"/>
                <w:szCs w:val="18"/>
              </w:rPr>
              <w:fldChar w:fldCharType="separate"/>
            </w:r>
            <w:r>
              <w:rPr>
                <w:b/>
                <w:bCs/>
                <w:sz w:val="18"/>
                <w:szCs w:val="18"/>
              </w:rPr>
              <w:t>1</w:t>
            </w:r>
            <w:r w:rsidRPr="007D403E">
              <w:rPr>
                <w:b/>
                <w:bCs/>
                <w:sz w:val="18"/>
                <w:szCs w:val="18"/>
              </w:rPr>
              <w:fldChar w:fldCharType="end"/>
            </w:r>
            <w:r w:rsidRPr="007D403E">
              <w:rPr>
                <w:sz w:val="18"/>
                <w:szCs w:val="18"/>
              </w:rPr>
              <w:t xml:space="preserve"> of </w:t>
            </w:r>
            <w:r w:rsidRPr="007D403E">
              <w:rPr>
                <w:b/>
                <w:bCs/>
                <w:sz w:val="18"/>
                <w:szCs w:val="18"/>
              </w:rPr>
              <w:fldChar w:fldCharType="begin"/>
            </w:r>
            <w:r w:rsidRPr="007D403E">
              <w:rPr>
                <w:b/>
                <w:bCs/>
                <w:sz w:val="18"/>
                <w:szCs w:val="18"/>
              </w:rPr>
              <w:instrText xml:space="preserve"> NUMPAGES  </w:instrText>
            </w:r>
            <w:r w:rsidRPr="007D403E">
              <w:rPr>
                <w:b/>
                <w:bCs/>
                <w:sz w:val="18"/>
                <w:szCs w:val="18"/>
              </w:rPr>
              <w:fldChar w:fldCharType="separate"/>
            </w:r>
            <w:r>
              <w:rPr>
                <w:b/>
                <w:bCs/>
                <w:sz w:val="18"/>
                <w:szCs w:val="18"/>
              </w:rPr>
              <w:t>5</w:t>
            </w:r>
            <w:r w:rsidRPr="007D403E">
              <w:rPr>
                <w:b/>
                <w:bCs/>
                <w:sz w:val="18"/>
                <w:szCs w:val="18"/>
              </w:rPr>
              <w:fldChar w:fldCharType="end"/>
            </w:r>
          </w:p>
          <w:p w14:paraId="12908B2C" w14:textId="77777777" w:rsidR="001B6406" w:rsidRDefault="001B6406" w:rsidP="001B6406">
            <w:pPr>
              <w:pStyle w:val="Footer"/>
              <w:ind w:right="-217"/>
              <w:jc w:val="right"/>
              <w:rPr>
                <w:b/>
                <w:bCs/>
                <w:sz w:val="18"/>
                <w:szCs w:val="18"/>
              </w:rPr>
            </w:pPr>
          </w:p>
          <w:p w14:paraId="4E37DBEB" w14:textId="77777777" w:rsidR="001B6406" w:rsidRPr="007D403E" w:rsidRDefault="00EF550F" w:rsidP="001B6406">
            <w:pPr>
              <w:pStyle w:val="Footer"/>
              <w:ind w:right="-217"/>
              <w:jc w:val="right"/>
              <w:rPr>
                <w:sz w:val="18"/>
                <w:szCs w:val="18"/>
              </w:rPr>
            </w:pPr>
          </w:p>
        </w:sdtContent>
      </w:sdt>
    </w:sdtContent>
  </w:sdt>
  <w:p w14:paraId="4FFCA468" w14:textId="77777777" w:rsidR="001B6406" w:rsidRDefault="001B64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7F173" w14:textId="77777777" w:rsidR="001B6406" w:rsidRDefault="00875917" w:rsidP="001B6406">
    <w:pPr>
      <w:pStyle w:val="Footer"/>
      <w:ind w:left="-1418"/>
    </w:pPr>
    <w:r>
      <w:rPr>
        <w:noProof/>
      </w:rPr>
      <w:drawing>
        <wp:inline distT="0" distB="0" distL="0" distR="0" wp14:anchorId="4A3D01AF" wp14:editId="21768399">
          <wp:extent cx="10654527" cy="1445172"/>
          <wp:effectExtent l="0" t="0" r="0" b="3175"/>
          <wp:docPr id="23" name="Picture 23" descr="Department of Health Footer with 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Landscape for Footer DoH.png"/>
                  <pic:cNvPicPr/>
                </pic:nvPicPr>
                <pic:blipFill rotWithShape="1">
                  <a:blip r:embed="rId1">
                    <a:extLst>
                      <a:ext uri="{28A0092B-C50C-407E-A947-70E740481C1C}">
                        <a14:useLocalDpi xmlns:a14="http://schemas.microsoft.com/office/drawing/2010/main" val="0"/>
                      </a:ext>
                    </a:extLst>
                  </a:blip>
                  <a:srcRect t="17541"/>
                  <a:stretch/>
                </pic:blipFill>
                <pic:spPr bwMode="auto">
                  <a:xfrm>
                    <a:off x="0" y="0"/>
                    <a:ext cx="10739351" cy="1456677"/>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17F8C" w14:textId="77777777" w:rsidR="00EF550F" w:rsidRDefault="00EF550F" w:rsidP="00524330">
      <w:pPr>
        <w:spacing w:after="0" w:line="240" w:lineRule="auto"/>
      </w:pPr>
      <w:r>
        <w:separator/>
      </w:r>
    </w:p>
  </w:footnote>
  <w:footnote w:type="continuationSeparator" w:id="0">
    <w:p w14:paraId="72105EA9" w14:textId="77777777" w:rsidR="00EF550F" w:rsidRDefault="00EF550F" w:rsidP="005243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88CFE" w14:textId="77777777" w:rsidR="001B6406" w:rsidRDefault="0007498F" w:rsidP="001B6406">
    <w:pPr>
      <w:pStyle w:val="Header"/>
      <w:ind w:left="-1474"/>
    </w:pPr>
    <w:r>
      <w:rPr>
        <w:noProof/>
      </w:rPr>
      <w:drawing>
        <wp:inline distT="0" distB="0" distL="0" distR="0" wp14:anchorId="0B87CF88" wp14:editId="74315B10">
          <wp:extent cx="1078994" cy="1078994"/>
          <wp:effectExtent l="0" t="0" r="0" b="0"/>
          <wp:docPr id="18" name="Picture 1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HYP Fact Sheet Page No Footers-1 left.png"/>
                  <pic:cNvPicPr/>
                </pic:nvPicPr>
                <pic:blipFill>
                  <a:blip r:embed="rId1">
                    <a:extLst>
                      <a:ext uri="{28A0092B-C50C-407E-A947-70E740481C1C}">
                        <a14:useLocalDpi xmlns:a14="http://schemas.microsoft.com/office/drawing/2010/main" val="0"/>
                      </a:ext>
                    </a:extLst>
                  </a:blip>
                  <a:stretch>
                    <a:fillRect/>
                  </a:stretch>
                </pic:blipFill>
                <pic:spPr>
                  <a:xfrm rot="5400000">
                    <a:off x="0" y="0"/>
                    <a:ext cx="1078994" cy="10789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997B0" w14:textId="77777777" w:rsidR="00490AC5" w:rsidRDefault="0007498F" w:rsidP="001B6406">
    <w:pPr>
      <w:pStyle w:val="Header"/>
      <w:ind w:right="-1474"/>
      <w:jc w:val="right"/>
    </w:pPr>
    <w:r>
      <w:rPr>
        <w:noProof/>
      </w:rPr>
      <w:drawing>
        <wp:inline distT="0" distB="0" distL="0" distR="0" wp14:anchorId="247F59AB" wp14:editId="449FBB7B">
          <wp:extent cx="1078994" cy="1078994"/>
          <wp:effectExtent l="0" t="0" r="6985" b="0"/>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HYP Fact Sheet Page No Footers-2 right.png"/>
                  <pic:cNvPicPr/>
                </pic:nvPicPr>
                <pic:blipFill>
                  <a:blip r:embed="rId1">
                    <a:extLst>
                      <a:ext uri="{28A0092B-C50C-407E-A947-70E740481C1C}">
                        <a14:useLocalDpi xmlns:a14="http://schemas.microsoft.com/office/drawing/2010/main" val="0"/>
                      </a:ext>
                    </a:extLst>
                  </a:blip>
                  <a:stretch>
                    <a:fillRect/>
                  </a:stretch>
                </pic:blipFill>
                <pic:spPr>
                  <a:xfrm rot="16200000">
                    <a:off x="0" y="0"/>
                    <a:ext cx="1078994" cy="107899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75F26" w14:textId="77777777" w:rsidR="00490AC5" w:rsidRDefault="001B6406" w:rsidP="00524330">
    <w:pPr>
      <w:pStyle w:val="Header"/>
      <w:ind w:left="-1474"/>
    </w:pPr>
    <w:r>
      <w:rPr>
        <w:noProof/>
      </w:rPr>
      <w:drawing>
        <wp:inline distT="0" distB="0" distL="0" distR="0" wp14:anchorId="3EE826AA" wp14:editId="6B201E73">
          <wp:extent cx="10753587" cy="1708427"/>
          <wp:effectExtent l="0" t="0" r="0" b="0"/>
          <wp:docPr id="20" name="Picture 20" descr="Healthy Young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YP Fact Sheet for Word-9.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753587" cy="170842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F046F"/>
    <w:multiLevelType w:val="hybridMultilevel"/>
    <w:tmpl w:val="73ECA2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E92E84"/>
    <w:multiLevelType w:val="hybridMultilevel"/>
    <w:tmpl w:val="6562F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A512E5"/>
    <w:multiLevelType w:val="hybridMultilevel"/>
    <w:tmpl w:val="1EFAAB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3320B21"/>
    <w:multiLevelType w:val="hybridMultilevel"/>
    <w:tmpl w:val="3D8A2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3"/>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70"/>
    <w:rsid w:val="000354C9"/>
    <w:rsid w:val="0007498F"/>
    <w:rsid w:val="000C05AB"/>
    <w:rsid w:val="001B6406"/>
    <w:rsid w:val="001F3D70"/>
    <w:rsid w:val="00323242"/>
    <w:rsid w:val="00392870"/>
    <w:rsid w:val="00490AC5"/>
    <w:rsid w:val="00493282"/>
    <w:rsid w:val="00524330"/>
    <w:rsid w:val="00530F0F"/>
    <w:rsid w:val="005732C7"/>
    <w:rsid w:val="005E7EE8"/>
    <w:rsid w:val="006370EC"/>
    <w:rsid w:val="00657254"/>
    <w:rsid w:val="00664D12"/>
    <w:rsid w:val="006B0413"/>
    <w:rsid w:val="007C16BA"/>
    <w:rsid w:val="007D403E"/>
    <w:rsid w:val="00875917"/>
    <w:rsid w:val="008D70A8"/>
    <w:rsid w:val="009155B9"/>
    <w:rsid w:val="00966D36"/>
    <w:rsid w:val="009B746E"/>
    <w:rsid w:val="00A00424"/>
    <w:rsid w:val="00A2736C"/>
    <w:rsid w:val="00A4537D"/>
    <w:rsid w:val="00A5648E"/>
    <w:rsid w:val="00A7639F"/>
    <w:rsid w:val="00A869CD"/>
    <w:rsid w:val="00AA1089"/>
    <w:rsid w:val="00AB27AE"/>
    <w:rsid w:val="00AE17F6"/>
    <w:rsid w:val="00AF610A"/>
    <w:rsid w:val="00B0619F"/>
    <w:rsid w:val="00B579CB"/>
    <w:rsid w:val="00B95341"/>
    <w:rsid w:val="00BB527D"/>
    <w:rsid w:val="00BE22EF"/>
    <w:rsid w:val="00C009AB"/>
    <w:rsid w:val="00CC040C"/>
    <w:rsid w:val="00D255E5"/>
    <w:rsid w:val="00D34A39"/>
    <w:rsid w:val="00D42550"/>
    <w:rsid w:val="00D63DBC"/>
    <w:rsid w:val="00EF550F"/>
    <w:rsid w:val="00F82427"/>
    <w:rsid w:val="00FC2AFE"/>
    <w:rsid w:val="00FD316D"/>
    <w:rsid w:val="00FE28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0F61C"/>
  <w15:chartTrackingRefBased/>
  <w15:docId w15:val="{70C20B61-5A40-4890-AC5E-1A1A36D95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330"/>
    <w:pPr>
      <w:spacing w:after="140" w:line="300" w:lineRule="atLeast"/>
      <w:ind w:right="-1055"/>
    </w:pPr>
    <w:rPr>
      <w:rFonts w:ascii="Gill Sans MT" w:eastAsia="Times New Roman" w:hAnsi="Gill Sans MT"/>
      <w:sz w:val="22"/>
      <w:szCs w:val="24"/>
    </w:rPr>
  </w:style>
  <w:style w:type="paragraph" w:styleId="Heading1">
    <w:name w:val="heading 1"/>
    <w:basedOn w:val="Heading2"/>
    <w:next w:val="Normal"/>
    <w:link w:val="Heading1Char"/>
    <w:qFormat/>
    <w:rsid w:val="00524330"/>
    <w:pPr>
      <w:keepNext w:val="0"/>
      <w:keepLines w:val="0"/>
      <w:spacing w:before="240" w:after="60"/>
      <w:outlineLvl w:val="0"/>
    </w:pPr>
    <w:rPr>
      <w:rFonts w:ascii="Gill Sans MT" w:hAnsi="Gill Sans MT" w:cs="Arial"/>
      <w:b/>
      <w:color w:val="auto"/>
      <w:sz w:val="40"/>
      <w:szCs w:val="24"/>
      <w:lang w:val="en"/>
    </w:rPr>
  </w:style>
  <w:style w:type="paragraph" w:styleId="Heading2">
    <w:name w:val="heading 2"/>
    <w:basedOn w:val="Normal"/>
    <w:next w:val="Normal"/>
    <w:link w:val="Heading2Char"/>
    <w:uiPriority w:val="9"/>
    <w:semiHidden/>
    <w:unhideWhenUsed/>
    <w:qFormat/>
    <w:rsid w:val="00524330"/>
    <w:pPr>
      <w:keepNext/>
      <w:keepLines/>
      <w:spacing w:before="40" w:after="0"/>
      <w:outlineLvl w:val="1"/>
    </w:pPr>
    <w:rPr>
      <w:rFonts w:ascii="Cambria" w:hAnsi="Cambria"/>
      <w:color w:val="365F91"/>
      <w:sz w:val="26"/>
      <w:szCs w:val="26"/>
    </w:rPr>
  </w:style>
  <w:style w:type="paragraph" w:styleId="Heading7">
    <w:name w:val="heading 7"/>
    <w:basedOn w:val="Normal"/>
    <w:next w:val="Normal"/>
    <w:link w:val="Heading7Char"/>
    <w:uiPriority w:val="9"/>
    <w:semiHidden/>
    <w:unhideWhenUsed/>
    <w:qFormat/>
    <w:rsid w:val="00524330"/>
    <w:pPr>
      <w:keepNext/>
      <w:keepLines/>
      <w:spacing w:before="40" w:after="0"/>
      <w:outlineLvl w:val="6"/>
    </w:pPr>
    <w:rPr>
      <w:rFonts w:ascii="Cambria"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330"/>
  </w:style>
  <w:style w:type="paragraph" w:styleId="Footer">
    <w:name w:val="footer"/>
    <w:basedOn w:val="Normal"/>
    <w:link w:val="FooterChar"/>
    <w:uiPriority w:val="99"/>
    <w:unhideWhenUsed/>
    <w:rsid w:val="005243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330"/>
  </w:style>
  <w:style w:type="paragraph" w:styleId="BalloonText">
    <w:name w:val="Balloon Text"/>
    <w:basedOn w:val="Normal"/>
    <w:link w:val="BalloonTextChar"/>
    <w:uiPriority w:val="99"/>
    <w:semiHidden/>
    <w:unhideWhenUsed/>
    <w:rsid w:val="005243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24330"/>
    <w:rPr>
      <w:rFonts w:ascii="Segoe UI" w:hAnsi="Segoe UI" w:cs="Segoe UI"/>
      <w:sz w:val="18"/>
      <w:szCs w:val="18"/>
    </w:rPr>
  </w:style>
  <w:style w:type="character" w:customStyle="1" w:styleId="Heading1Char">
    <w:name w:val="Heading 1 Char"/>
    <w:link w:val="Heading1"/>
    <w:rsid w:val="00524330"/>
    <w:rPr>
      <w:rFonts w:ascii="Gill Sans MT" w:eastAsia="Times New Roman" w:hAnsi="Gill Sans MT" w:cs="Arial"/>
      <w:b/>
      <w:sz w:val="40"/>
      <w:szCs w:val="24"/>
      <w:lang w:val="en" w:eastAsia="en-AU"/>
    </w:rPr>
  </w:style>
  <w:style w:type="paragraph" w:styleId="Subtitle">
    <w:name w:val="Subtitle"/>
    <w:basedOn w:val="Heading7"/>
    <w:link w:val="SubtitleChar"/>
    <w:qFormat/>
    <w:rsid w:val="00524330"/>
    <w:pPr>
      <w:keepNext w:val="0"/>
      <w:keepLines w:val="0"/>
      <w:spacing w:before="0" w:after="240"/>
      <w:ind w:right="0"/>
    </w:pPr>
    <w:rPr>
      <w:rFonts w:ascii="Gill Sans MT" w:hAnsi="Gill Sans MT"/>
      <w:b/>
      <w:i w:val="0"/>
      <w:iCs w:val="0"/>
      <w:color w:val="CF2F44"/>
      <w:sz w:val="44"/>
      <w:szCs w:val="44"/>
    </w:rPr>
  </w:style>
  <w:style w:type="character" w:customStyle="1" w:styleId="SubtitleChar">
    <w:name w:val="Subtitle Char"/>
    <w:link w:val="Subtitle"/>
    <w:rsid w:val="00524330"/>
    <w:rPr>
      <w:rFonts w:ascii="Gill Sans MT" w:eastAsia="Times New Roman" w:hAnsi="Gill Sans MT" w:cs="Times New Roman"/>
      <w:b/>
      <w:color w:val="CF2F44"/>
      <w:sz w:val="44"/>
      <w:szCs w:val="44"/>
      <w:lang w:eastAsia="en-AU"/>
    </w:rPr>
  </w:style>
  <w:style w:type="paragraph" w:styleId="Title">
    <w:name w:val="Title"/>
    <w:basedOn w:val="Normal"/>
    <w:next w:val="Normal"/>
    <w:link w:val="TitleChar"/>
    <w:uiPriority w:val="10"/>
    <w:qFormat/>
    <w:rsid w:val="00524330"/>
    <w:pPr>
      <w:spacing w:before="240" w:after="60" w:line="360" w:lineRule="auto"/>
      <w:ind w:right="0"/>
      <w:outlineLvl w:val="5"/>
    </w:pPr>
    <w:rPr>
      <w:rFonts w:cs="Arial"/>
      <w:bCs/>
      <w:color w:val="005395"/>
      <w:kern w:val="28"/>
      <w:sz w:val="64"/>
      <w:szCs w:val="64"/>
    </w:rPr>
  </w:style>
  <w:style w:type="character" w:customStyle="1" w:styleId="TitleChar">
    <w:name w:val="Title Char"/>
    <w:link w:val="Title"/>
    <w:uiPriority w:val="10"/>
    <w:rsid w:val="00524330"/>
    <w:rPr>
      <w:rFonts w:ascii="Gill Sans MT" w:eastAsia="Times New Roman" w:hAnsi="Gill Sans MT" w:cs="Arial"/>
      <w:bCs/>
      <w:color w:val="005395"/>
      <w:kern w:val="28"/>
      <w:sz w:val="64"/>
      <w:szCs w:val="64"/>
      <w:lang w:eastAsia="en-AU"/>
    </w:rPr>
  </w:style>
  <w:style w:type="character" w:customStyle="1" w:styleId="Heading2Char">
    <w:name w:val="Heading 2 Char"/>
    <w:link w:val="Heading2"/>
    <w:uiPriority w:val="9"/>
    <w:semiHidden/>
    <w:rsid w:val="00524330"/>
    <w:rPr>
      <w:rFonts w:ascii="Cambria" w:eastAsia="Times New Roman" w:hAnsi="Cambria" w:cs="Times New Roman"/>
      <w:color w:val="365F91"/>
      <w:sz w:val="26"/>
      <w:szCs w:val="26"/>
      <w:lang w:eastAsia="en-AU"/>
    </w:rPr>
  </w:style>
  <w:style w:type="character" w:customStyle="1" w:styleId="Heading7Char">
    <w:name w:val="Heading 7 Char"/>
    <w:link w:val="Heading7"/>
    <w:uiPriority w:val="9"/>
    <w:semiHidden/>
    <w:rsid w:val="00524330"/>
    <w:rPr>
      <w:rFonts w:ascii="Cambria" w:eastAsia="Times New Roman" w:hAnsi="Cambria" w:cs="Times New Roman"/>
      <w:i/>
      <w:iCs/>
      <w:color w:val="243F60"/>
      <w:szCs w:val="24"/>
      <w:lang w:eastAsia="en-AU"/>
    </w:rPr>
  </w:style>
  <w:style w:type="table" w:styleId="TableGrid">
    <w:name w:val="Table Grid"/>
    <w:basedOn w:val="TableNormal"/>
    <w:uiPriority w:val="59"/>
    <w:rsid w:val="001F3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1F3D70"/>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1F3D70"/>
    <w:pPr>
      <w:ind w:right="-1055"/>
    </w:pPr>
    <w:rPr>
      <w:rFonts w:ascii="Gill Sans MT" w:eastAsia="Times New Roman" w:hAnsi="Gill Sans MT"/>
      <w:sz w:val="22"/>
      <w:szCs w:val="24"/>
    </w:rPr>
  </w:style>
  <w:style w:type="paragraph" w:styleId="ListParagraph">
    <w:name w:val="List Paragraph"/>
    <w:basedOn w:val="Normal"/>
    <w:uiPriority w:val="34"/>
    <w:qFormat/>
    <w:rsid w:val="001F3D70"/>
    <w:pPr>
      <w:ind w:left="720"/>
      <w:contextualSpacing/>
    </w:pPr>
  </w:style>
  <w:style w:type="character" w:styleId="Hyperlink">
    <w:name w:val="Hyperlink"/>
    <w:basedOn w:val="DefaultParagraphFont"/>
    <w:uiPriority w:val="99"/>
    <w:unhideWhenUsed/>
    <w:rsid w:val="005E7EE8"/>
    <w:rPr>
      <w:color w:val="0000FF" w:themeColor="hyperlink"/>
      <w:u w:val="single"/>
    </w:rPr>
  </w:style>
  <w:style w:type="character" w:styleId="UnresolvedMention">
    <w:name w:val="Unresolved Mention"/>
    <w:basedOn w:val="DefaultParagraphFont"/>
    <w:uiPriority w:val="99"/>
    <w:semiHidden/>
    <w:unhideWhenUsed/>
    <w:rsid w:val="005E7E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ncurriculum.edu.au/f-10-curriculum/health-and-physical-education/structur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0BEBDB-BFE5-43E7-9C66-E0F70FD38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595</Words>
  <Characters>3393</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Healthy Young People HPE Curriculum Focus areas.</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Young People HPE Curriculum Focus areas.</dc:title>
  <dc:subject>HYP</dc:subject>
  <dc:creator>Measham, Christy R</dc:creator>
  <cp:keywords/>
  <dc:description/>
  <cp:lastModifiedBy>Radivojevic, Tracey L</cp:lastModifiedBy>
  <cp:revision>3</cp:revision>
  <cp:lastPrinted>2019-09-06T05:59:00Z</cp:lastPrinted>
  <dcterms:created xsi:type="dcterms:W3CDTF">2019-09-06T05:58:00Z</dcterms:created>
  <dcterms:modified xsi:type="dcterms:W3CDTF">2019-09-06T05:59:00Z</dcterms:modified>
</cp:coreProperties>
</file>