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C45" w:rsidRPr="00884902" w:rsidRDefault="00272C65" w:rsidP="00CC45E7">
      <w:pPr>
        <w:pStyle w:val="MainHeading"/>
        <w:spacing w:before="0" w:afterLines="0" w:after="140"/>
        <w:ind w:left="0" w:right="0"/>
        <w:rPr>
          <w:color w:val="005395"/>
        </w:rPr>
      </w:pPr>
      <w:bookmarkStart w:id="0" w:name="_Toc459796621"/>
      <w:bookmarkStart w:id="1" w:name="_Toc462910853"/>
      <w:bookmarkStart w:id="2" w:name="_Toc462911006"/>
      <w:bookmarkStart w:id="3" w:name="_Toc468796497"/>
      <w:bookmarkStart w:id="4" w:name="_Toc469393442"/>
      <w:bookmarkStart w:id="5" w:name="_Toc469393498"/>
      <w:bookmarkStart w:id="6" w:name="_Toc481060088"/>
      <w:bookmarkStart w:id="7" w:name="_Toc482964370"/>
      <w:bookmarkStart w:id="8" w:name="_Toc483998809"/>
      <w:bookmarkStart w:id="9" w:name="_Toc485299617"/>
      <w:bookmarkStart w:id="10" w:name="_Toc493759052"/>
      <w:bookmarkStart w:id="11" w:name="_Toc493759233"/>
      <w:bookmarkStart w:id="12" w:name="_Toc494185049"/>
      <w:bookmarkStart w:id="13" w:name="_Toc496003653"/>
      <w:bookmarkStart w:id="14" w:name="_Toc498597619"/>
      <w:bookmarkStart w:id="15" w:name="_Toc501707520"/>
      <w:bookmarkStart w:id="16" w:name="_Toc502663845"/>
      <w:bookmarkStart w:id="17" w:name="_Toc514241464"/>
      <w:bookmarkStart w:id="18" w:name="_Toc514332266"/>
      <w:bookmarkStart w:id="19" w:name="_Toc514760622"/>
      <w:bookmarkStart w:id="20" w:name="_Toc523989812"/>
      <w:bookmarkStart w:id="21" w:name="_Toc524592876"/>
      <w:bookmarkStart w:id="22" w:name="_Toc531268396"/>
      <w:r>
        <w:rPr>
          <w:color w:val="005395"/>
        </w:rPr>
        <w:br/>
      </w:r>
      <w:bookmarkStart w:id="23" w:name="_Toc8219808"/>
      <w:bookmarkStart w:id="24" w:name="_Toc8300534"/>
      <w:bookmarkStart w:id="25" w:name="_Toc8819781"/>
      <w:bookmarkStart w:id="26" w:name="_Toc11225090"/>
      <w:bookmarkStart w:id="27" w:name="_Toc12446244"/>
      <w:bookmarkStart w:id="28" w:name="_Toc12540751"/>
      <w:bookmarkStart w:id="29" w:name="_Toc2082127"/>
      <w:r w:rsidR="000E2C45" w:rsidRPr="00884902">
        <w:rPr>
          <w:i/>
          <w:color w:val="005395"/>
        </w:rPr>
        <w:t>Staphylococcus aureus</w:t>
      </w:r>
      <w:r w:rsidR="000E2C45" w:rsidRPr="00884902">
        <w:rPr>
          <w:color w:val="005395"/>
        </w:rPr>
        <w:t xml:space="preserve"> bloodstream infection surveillance</w:t>
      </w:r>
      <w:bookmarkEnd w:id="23"/>
      <w:bookmarkEnd w:id="24"/>
      <w:bookmarkEnd w:id="25"/>
      <w:bookmarkEnd w:id="26"/>
      <w:r w:rsidR="001D5F15">
        <w:rPr>
          <w:color w:val="005395"/>
        </w:rPr>
        <w:t>.</w:t>
      </w:r>
      <w:bookmarkEnd w:id="27"/>
      <w:bookmarkEnd w:id="28"/>
      <w:r w:rsidR="000E2C45" w:rsidRPr="00884902">
        <w:rPr>
          <w:color w:val="005395"/>
        </w:rPr>
        <w:t xml:space="preserve">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9"/>
    <w:p w:rsidR="00AE0838" w:rsidRPr="00884902" w:rsidRDefault="00B77EB0" w:rsidP="000E2C45">
      <w:pPr>
        <w:pStyle w:val="Subtitle2"/>
        <w:spacing w:afterLines="0" w:after="140" w:line="300" w:lineRule="atLeast"/>
        <w:ind w:left="0" w:right="0"/>
        <w:rPr>
          <w:color w:val="005395"/>
        </w:rPr>
        <w:sectPr w:rsidR="00AE0838" w:rsidRPr="00884902" w:rsidSect="00E50A06">
          <w:headerReference w:type="even" r:id="rId9"/>
          <w:headerReference w:type="default" r:id="rId10"/>
          <w:footerReference w:type="even" r:id="rId11"/>
          <w:footerReference w:type="default" r:id="rId12"/>
          <w:headerReference w:type="first" r:id="rId13"/>
          <w:footerReference w:type="first" r:id="rId14"/>
          <w:pgSz w:w="11906" w:h="16838"/>
          <w:pgMar w:top="1955" w:right="1440" w:bottom="1440" w:left="1440" w:header="709" w:footer="709" w:gutter="0"/>
          <w:cols w:space="708"/>
          <w:titlePg/>
          <w:docGrid w:linePitch="360"/>
        </w:sectPr>
      </w:pPr>
      <w:r w:rsidRPr="00884902">
        <w:rPr>
          <w:color w:val="005395"/>
        </w:rPr>
        <w:t>Report</w:t>
      </w:r>
      <w:r w:rsidR="001D5F15">
        <w:rPr>
          <w:color w:val="005395"/>
        </w:rPr>
        <w:t xml:space="preserve">, </w:t>
      </w:r>
      <w:r w:rsidRPr="00884902">
        <w:rPr>
          <w:color w:val="005395"/>
        </w:rPr>
        <w:t>2010</w:t>
      </w:r>
      <w:r w:rsidR="001D5F15">
        <w:rPr>
          <w:color w:val="005395"/>
        </w:rPr>
        <w:t xml:space="preserve"> to </w:t>
      </w:r>
      <w:r w:rsidR="000E2C45" w:rsidRPr="00884902">
        <w:rPr>
          <w:color w:val="005395"/>
        </w:rPr>
        <w:t xml:space="preserve">2018  </w:t>
      </w:r>
    </w:p>
    <w:p w:rsidR="00B62635" w:rsidRPr="00CC45E7" w:rsidRDefault="000E2C45" w:rsidP="00CC45E7">
      <w:pPr>
        <w:spacing w:afterLines="0"/>
        <w:rPr>
          <w:b/>
        </w:rPr>
      </w:pPr>
      <w:r w:rsidRPr="000E2C45">
        <w:rPr>
          <w:b/>
          <w:i/>
        </w:rPr>
        <w:lastRenderedPageBreak/>
        <w:t>Staphylococcus aureus</w:t>
      </w:r>
      <w:r>
        <w:rPr>
          <w:b/>
        </w:rPr>
        <w:t xml:space="preserve"> bloodstream infection surveillance</w:t>
      </w:r>
      <w:r w:rsidR="001D5F15">
        <w:rPr>
          <w:b/>
        </w:rPr>
        <w:t>. R</w:t>
      </w:r>
      <w:r>
        <w:rPr>
          <w:b/>
        </w:rPr>
        <w:t>eport</w:t>
      </w:r>
      <w:r w:rsidR="001D5F15">
        <w:rPr>
          <w:b/>
        </w:rPr>
        <w:t xml:space="preserve">, </w:t>
      </w:r>
      <w:r w:rsidR="00B77EB0">
        <w:rPr>
          <w:b/>
        </w:rPr>
        <w:t xml:space="preserve">2010 </w:t>
      </w:r>
      <w:r w:rsidR="001D5F15">
        <w:rPr>
          <w:b/>
        </w:rPr>
        <w:t>to</w:t>
      </w:r>
      <w:r w:rsidR="00B77EB0">
        <w:rPr>
          <w:b/>
        </w:rPr>
        <w:t xml:space="preserve"> 2018</w:t>
      </w:r>
      <w:r>
        <w:rPr>
          <w:b/>
        </w:rPr>
        <w:t xml:space="preserve"> </w:t>
      </w:r>
    </w:p>
    <w:p w:rsidR="00B62635" w:rsidRPr="00CC45E7" w:rsidRDefault="00B62635" w:rsidP="00CC45E7">
      <w:pPr>
        <w:spacing w:afterLines="0"/>
        <w:rPr>
          <w:rFonts w:cs="Arial"/>
          <w:lang w:val="en-US"/>
        </w:rPr>
      </w:pPr>
      <w:r w:rsidRPr="00CC45E7">
        <w:rPr>
          <w:rFonts w:cs="Arial"/>
          <w:lang w:val="en-US"/>
        </w:rPr>
        <w:t>Department of Health</w:t>
      </w:r>
      <w:r w:rsidRPr="00CC45E7">
        <w:rPr>
          <w:rFonts w:cs="Arial"/>
        </w:rPr>
        <w:t xml:space="preserve">, </w:t>
      </w:r>
      <w:r w:rsidRPr="00CC45E7">
        <w:rPr>
          <w:rFonts w:cs="Arial"/>
          <w:lang w:val="en-US"/>
        </w:rPr>
        <w:t>Tasmania</w:t>
      </w:r>
    </w:p>
    <w:p w:rsidR="00B62635" w:rsidRPr="00CC45E7" w:rsidRDefault="005E544E" w:rsidP="00CC45E7">
      <w:pPr>
        <w:spacing w:afterLines="0"/>
        <w:rPr>
          <w:rFonts w:cs="Arial"/>
          <w:lang w:val="en-US"/>
        </w:rPr>
      </w:pPr>
      <w:r>
        <w:rPr>
          <w:rFonts w:cs="Arial"/>
          <w:lang w:val="en-US"/>
        </w:rPr>
        <w:t>Published 201</w:t>
      </w:r>
      <w:r w:rsidR="00F63AA0">
        <w:rPr>
          <w:rFonts w:cs="Arial"/>
          <w:lang w:val="en-US"/>
        </w:rPr>
        <w:t>9</w:t>
      </w:r>
    </w:p>
    <w:p w:rsidR="00B62635" w:rsidRPr="00CC45E7" w:rsidRDefault="008111B4" w:rsidP="00CC45E7">
      <w:pPr>
        <w:spacing w:afterLines="0"/>
        <w:rPr>
          <w:rFonts w:cs="Arial"/>
          <w:lang w:val="en-US"/>
        </w:rPr>
      </w:pPr>
      <w:r>
        <w:rPr>
          <w:rFonts w:cs="Arial"/>
          <w:lang w:val="en-US"/>
        </w:rPr>
        <w:t>Copyright—Department of Health, Tasmania</w:t>
      </w:r>
    </w:p>
    <w:p w:rsidR="00B62635" w:rsidRPr="00CC45E7" w:rsidRDefault="00B62635" w:rsidP="00CC45E7">
      <w:pPr>
        <w:spacing w:afterLines="0"/>
        <w:rPr>
          <w:rFonts w:cs="Arial"/>
          <w:b/>
          <w:lang w:val="en-US"/>
        </w:rPr>
      </w:pPr>
      <w:r w:rsidRPr="00CC45E7">
        <w:rPr>
          <w:rFonts w:cs="Arial"/>
          <w:b/>
          <w:lang w:val="en-US"/>
        </w:rPr>
        <w:t>Permission to copy is granted provided the source is acknowledged</w:t>
      </w:r>
    </w:p>
    <w:p w:rsidR="00B62635" w:rsidRPr="00CC45E7" w:rsidRDefault="00B62635" w:rsidP="00CC45E7">
      <w:pPr>
        <w:tabs>
          <w:tab w:val="left" w:pos="567"/>
        </w:tabs>
        <w:spacing w:afterLines="0"/>
        <w:rPr>
          <w:rFonts w:eastAsia="Times New Roman" w:cs="Arial"/>
        </w:rPr>
      </w:pPr>
      <w:r w:rsidRPr="00CC45E7">
        <w:rPr>
          <w:rFonts w:eastAsia="Times New Roman" w:cs="Arial"/>
          <w:b/>
        </w:rPr>
        <w:t>Authors</w:t>
      </w:r>
    </w:p>
    <w:p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Ms Fiona Wilson, Clinical Nurse Consultant, TIPCU</w:t>
      </w:r>
    </w:p>
    <w:p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Dr Tara Anderson, Specialist Medical Advisor, TIPCU</w:t>
      </w:r>
    </w:p>
    <w:p w:rsidR="00B62635" w:rsidRPr="00CC45E7" w:rsidRDefault="00B62635" w:rsidP="00CC45E7">
      <w:pPr>
        <w:numPr>
          <w:ilvl w:val="0"/>
          <w:numId w:val="1"/>
        </w:numPr>
        <w:tabs>
          <w:tab w:val="clear" w:pos="6"/>
        </w:tabs>
        <w:spacing w:afterLines="0"/>
        <w:ind w:left="567" w:hanging="567"/>
        <w:rPr>
          <w:rFonts w:eastAsia="Times New Roman" w:cs="Arial"/>
          <w:b/>
          <w:u w:val="single"/>
        </w:rPr>
      </w:pPr>
      <w:r w:rsidRPr="00CC45E7">
        <w:rPr>
          <w:rFonts w:eastAsia="Times New Roman" w:cs="Arial"/>
        </w:rPr>
        <w:t xml:space="preserve">Ms Anne Wells, Assistant Director of Nursing, </w:t>
      </w:r>
      <w:r w:rsidR="00B77EB0">
        <w:rPr>
          <w:rFonts w:eastAsia="Times New Roman" w:cs="Arial"/>
        </w:rPr>
        <w:t>PHS</w:t>
      </w:r>
    </w:p>
    <w:p w:rsidR="00457D3C" w:rsidRDefault="00B62635" w:rsidP="00457D3C">
      <w:pPr>
        <w:tabs>
          <w:tab w:val="left" w:pos="567"/>
        </w:tabs>
        <w:spacing w:afterLines="0"/>
        <w:rPr>
          <w:rFonts w:eastAsia="Times New Roman" w:cs="Arial"/>
        </w:rPr>
      </w:pPr>
      <w:r w:rsidRPr="00CC45E7">
        <w:rPr>
          <w:rFonts w:eastAsia="Times New Roman" w:cs="Arial"/>
        </w:rPr>
        <w:t>Suggested reference: Wilson, F</w:t>
      </w:r>
      <w:r w:rsidR="00CF4C79" w:rsidRPr="00CC45E7">
        <w:rPr>
          <w:rFonts w:eastAsia="Times New Roman" w:cs="Arial"/>
        </w:rPr>
        <w:t>., Anderson, T., Wells, A. (</w:t>
      </w:r>
      <w:r w:rsidR="005E544E">
        <w:rPr>
          <w:rFonts w:eastAsia="Times New Roman" w:cs="Arial"/>
        </w:rPr>
        <w:t>201</w:t>
      </w:r>
      <w:r w:rsidR="008B21CA">
        <w:rPr>
          <w:rFonts w:eastAsia="Times New Roman" w:cs="Arial"/>
        </w:rPr>
        <w:t>9</w:t>
      </w:r>
      <w:r w:rsidRPr="00CC45E7">
        <w:rPr>
          <w:rFonts w:eastAsia="Times New Roman" w:cs="Arial"/>
        </w:rPr>
        <w:t xml:space="preserve">). </w:t>
      </w:r>
      <w:r w:rsidR="000E2C45">
        <w:rPr>
          <w:rFonts w:eastAsia="Times New Roman" w:cs="Arial"/>
        </w:rPr>
        <w:t>Staphylococcus aureus bloodstream infection surveillance</w:t>
      </w:r>
      <w:r w:rsidR="001D5F15">
        <w:rPr>
          <w:rFonts w:eastAsia="Times New Roman" w:cs="Arial"/>
        </w:rPr>
        <w:t>. R</w:t>
      </w:r>
      <w:r w:rsidR="00B77EB0">
        <w:rPr>
          <w:rFonts w:eastAsia="Times New Roman" w:cs="Arial"/>
        </w:rPr>
        <w:t>eport</w:t>
      </w:r>
      <w:r w:rsidR="001D5F15">
        <w:rPr>
          <w:rFonts w:eastAsia="Times New Roman" w:cs="Arial"/>
        </w:rPr>
        <w:t>,</w:t>
      </w:r>
      <w:r w:rsidR="00B77EB0">
        <w:rPr>
          <w:rFonts w:eastAsia="Times New Roman" w:cs="Arial"/>
        </w:rPr>
        <w:t xml:space="preserve"> 2010 </w:t>
      </w:r>
      <w:r w:rsidR="001D5F15">
        <w:rPr>
          <w:rFonts w:eastAsia="Times New Roman" w:cs="Arial"/>
        </w:rPr>
        <w:t>to</w:t>
      </w:r>
      <w:r w:rsidR="00B77EB0">
        <w:rPr>
          <w:rFonts w:eastAsia="Times New Roman" w:cs="Arial"/>
        </w:rPr>
        <w:t xml:space="preserve"> 2018</w:t>
      </w:r>
      <w:r w:rsidR="008111B4">
        <w:rPr>
          <w:rFonts w:eastAsia="Times New Roman" w:cs="Arial"/>
        </w:rPr>
        <w:t xml:space="preserve">. </w:t>
      </w:r>
      <w:r w:rsidRPr="00CC45E7">
        <w:rPr>
          <w:rFonts w:eastAsia="Times New Roman" w:cs="Arial"/>
        </w:rPr>
        <w:t xml:space="preserve">Hobart: Department of Health. </w:t>
      </w:r>
    </w:p>
    <w:p w:rsidR="00457D3C" w:rsidRDefault="00457D3C" w:rsidP="00457D3C">
      <w:pPr>
        <w:tabs>
          <w:tab w:val="left" w:pos="567"/>
        </w:tabs>
        <w:spacing w:afterLines="0"/>
        <w:rPr>
          <w:rFonts w:eastAsia="Times New Roman" w:cs="Arial"/>
        </w:rPr>
      </w:pPr>
      <w:r>
        <w:rPr>
          <w:rFonts w:eastAsia="Times New Roman" w:cs="Arial"/>
        </w:rPr>
        <w:t>Reviewed and approved by the:</w:t>
      </w:r>
    </w:p>
    <w:p w:rsidR="003203FB" w:rsidRPr="00457D3C" w:rsidRDefault="003203FB" w:rsidP="00457D3C">
      <w:pPr>
        <w:pStyle w:val="ListParagraph"/>
        <w:numPr>
          <w:ilvl w:val="0"/>
          <w:numId w:val="29"/>
        </w:numPr>
        <w:spacing w:afterLines="0" w:after="336"/>
        <w:ind w:left="567" w:hanging="567"/>
        <w:rPr>
          <w:lang w:eastAsia="en-AU"/>
        </w:rPr>
      </w:pPr>
      <w:r w:rsidRPr="003203FB">
        <w:rPr>
          <w:rFonts w:eastAsia="Times New Roman" w:cs="Arial"/>
        </w:rPr>
        <w:t xml:space="preserve">Tasmanian Health Service - </w:t>
      </w:r>
      <w:r w:rsidR="0013176B" w:rsidRPr="00CC45E7">
        <w:rPr>
          <w:lang w:eastAsia="en-AU"/>
        </w:rPr>
        <w:t xml:space="preserve">Executive Director of Nursing </w:t>
      </w:r>
      <w:r w:rsidR="0013176B">
        <w:rPr>
          <w:lang w:eastAsia="en-AU"/>
        </w:rPr>
        <w:t xml:space="preserve">North, </w:t>
      </w:r>
      <w:r w:rsidR="0013176B" w:rsidRPr="00CC45E7">
        <w:rPr>
          <w:lang w:eastAsia="en-AU"/>
        </w:rPr>
        <w:t xml:space="preserve">Executive Director of Nursing </w:t>
      </w:r>
      <w:r w:rsidR="0013176B">
        <w:rPr>
          <w:lang w:eastAsia="en-AU"/>
        </w:rPr>
        <w:t>North West, Nursing Director South – Critical Care, Clinical Support and Investigations</w:t>
      </w:r>
    </w:p>
    <w:p w:rsidR="00B62635" w:rsidRPr="0013176B" w:rsidRDefault="003203FB" w:rsidP="00457D3C">
      <w:pPr>
        <w:pStyle w:val="ListParagraph"/>
        <w:numPr>
          <w:ilvl w:val="0"/>
          <w:numId w:val="29"/>
        </w:numPr>
        <w:spacing w:afterLines="0" w:after="336"/>
        <w:ind w:left="567" w:hanging="567"/>
        <w:rPr>
          <w:lang w:eastAsia="en-AU"/>
        </w:rPr>
      </w:pPr>
      <w:r>
        <w:rPr>
          <w:rFonts w:eastAsia="Times New Roman" w:cs="Arial"/>
        </w:rPr>
        <w:t xml:space="preserve">Tasmanian Department of Health - </w:t>
      </w:r>
      <w:r w:rsidR="008111B4" w:rsidRPr="003203FB">
        <w:rPr>
          <w:rFonts w:eastAsia="Times New Roman" w:cs="Arial"/>
        </w:rPr>
        <w:t>Director of Public Health</w:t>
      </w:r>
    </w:p>
    <w:p w:rsidR="00E9274D" w:rsidRDefault="00884902" w:rsidP="009138AD">
      <w:pPr>
        <w:spacing w:after="336"/>
        <w:rPr>
          <w:rFonts w:eastAsia="Times New Roman" w:cs="Arial"/>
        </w:rPr>
      </w:pPr>
      <w:r>
        <w:rPr>
          <w:rFonts w:eastAsia="Times New Roman" w:cs="Arial"/>
        </w:rPr>
        <w:br w:type="page"/>
      </w:r>
    </w:p>
    <w:p w:rsidR="00884902" w:rsidRPr="009138AD" w:rsidRDefault="009138AD" w:rsidP="009138AD">
      <w:pPr>
        <w:pStyle w:val="Heading1"/>
      </w:pPr>
      <w:bookmarkStart w:id="30" w:name="_Toc12446245"/>
      <w:bookmarkStart w:id="31" w:name="_Toc12540752"/>
      <w:r w:rsidRPr="00884902">
        <w:lastRenderedPageBreak/>
        <w:t>Contents</w:t>
      </w:r>
      <w:bookmarkEnd w:id="30"/>
      <w:bookmarkEnd w:id="31"/>
    </w:p>
    <w:bookmarkStart w:id="32" w:name="_Toc11225093" w:displacedByCustomXml="next"/>
    <w:bookmarkStart w:id="33" w:name="_Hlk7770026" w:displacedByCustomXml="next"/>
    <w:sdt>
      <w:sdtPr>
        <w:rPr>
          <w:rFonts w:eastAsiaTheme="minorHAnsi" w:cstheme="minorBidi"/>
          <w:b w:val="0"/>
          <w:noProof w:val="0"/>
          <w:szCs w:val="22"/>
        </w:rPr>
        <w:id w:val="-2145036427"/>
        <w:docPartObj>
          <w:docPartGallery w:val="Table of Contents"/>
          <w:docPartUnique/>
        </w:docPartObj>
      </w:sdtPr>
      <w:sdtEndPr>
        <w:rPr>
          <w:bCs/>
        </w:rPr>
      </w:sdtEndPr>
      <w:sdtContent>
        <w:p w:rsidR="0092575B" w:rsidRPr="0092575B" w:rsidRDefault="00884902">
          <w:pPr>
            <w:pStyle w:val="TOC1"/>
            <w:rPr>
              <w:rFonts w:asciiTheme="minorHAnsi" w:eastAsiaTheme="minorEastAsia" w:hAnsiTheme="minorHAnsi" w:cstheme="minorBidi"/>
              <w:b w:val="0"/>
              <w:szCs w:val="22"/>
              <w:lang w:eastAsia="en-AU"/>
            </w:rPr>
          </w:pPr>
          <w:r w:rsidRPr="0092575B">
            <w:rPr>
              <w:b w:val="0"/>
              <w:bCs/>
              <w:szCs w:val="22"/>
            </w:rPr>
            <w:fldChar w:fldCharType="begin"/>
          </w:r>
          <w:r w:rsidRPr="0092575B">
            <w:rPr>
              <w:b w:val="0"/>
              <w:bCs/>
              <w:szCs w:val="22"/>
            </w:rPr>
            <w:instrText xml:space="preserve"> TOC \o "1-3" \h \z \u </w:instrText>
          </w:r>
          <w:r w:rsidRPr="0092575B">
            <w:rPr>
              <w:b w:val="0"/>
              <w:bCs/>
              <w:szCs w:val="22"/>
            </w:rPr>
            <w:fldChar w:fldCharType="separate"/>
          </w:r>
        </w:p>
        <w:p w:rsidR="0092575B" w:rsidRPr="0092575B" w:rsidRDefault="0084743B">
          <w:pPr>
            <w:pStyle w:val="TOC1"/>
            <w:rPr>
              <w:rFonts w:asciiTheme="minorHAnsi" w:eastAsiaTheme="minorEastAsia" w:hAnsiTheme="minorHAnsi" w:cstheme="minorBidi"/>
              <w:b w:val="0"/>
              <w:szCs w:val="22"/>
              <w:lang w:eastAsia="en-AU"/>
            </w:rPr>
          </w:pPr>
          <w:hyperlink w:anchor="_Toc12540752" w:history="1">
            <w:r w:rsidR="0092575B" w:rsidRPr="0092575B">
              <w:rPr>
                <w:rStyle w:val="Hyperlink"/>
                <w:b w:val="0"/>
              </w:rPr>
              <w:t>Contents</w:t>
            </w:r>
            <w:r w:rsidR="0092575B" w:rsidRPr="0092575B">
              <w:rPr>
                <w:b w:val="0"/>
                <w:webHidden/>
              </w:rPr>
              <w:tab/>
            </w:r>
            <w:r w:rsidR="0092575B" w:rsidRPr="0092575B">
              <w:rPr>
                <w:b w:val="0"/>
                <w:webHidden/>
              </w:rPr>
              <w:fldChar w:fldCharType="begin"/>
            </w:r>
            <w:r w:rsidR="0092575B" w:rsidRPr="0092575B">
              <w:rPr>
                <w:b w:val="0"/>
                <w:webHidden/>
              </w:rPr>
              <w:instrText xml:space="preserve"> PAGEREF _Toc12540752 \h </w:instrText>
            </w:r>
            <w:r w:rsidR="0092575B" w:rsidRPr="0092575B">
              <w:rPr>
                <w:b w:val="0"/>
                <w:webHidden/>
              </w:rPr>
            </w:r>
            <w:r w:rsidR="0092575B" w:rsidRPr="0092575B">
              <w:rPr>
                <w:b w:val="0"/>
                <w:webHidden/>
              </w:rPr>
              <w:fldChar w:fldCharType="separate"/>
            </w:r>
            <w:r w:rsidR="0092575B" w:rsidRPr="0092575B">
              <w:rPr>
                <w:b w:val="0"/>
                <w:webHidden/>
              </w:rPr>
              <w:t>3</w:t>
            </w:r>
            <w:r w:rsidR="0092575B" w:rsidRPr="0092575B">
              <w:rPr>
                <w:b w:val="0"/>
                <w:webHidden/>
              </w:rPr>
              <w:fldChar w:fldCharType="end"/>
            </w:r>
          </w:hyperlink>
        </w:p>
        <w:p w:rsidR="0092575B" w:rsidRPr="0092575B" w:rsidRDefault="0084743B">
          <w:pPr>
            <w:pStyle w:val="TOC1"/>
            <w:rPr>
              <w:rFonts w:asciiTheme="minorHAnsi" w:eastAsiaTheme="minorEastAsia" w:hAnsiTheme="minorHAnsi" w:cstheme="minorBidi"/>
              <w:b w:val="0"/>
              <w:szCs w:val="22"/>
              <w:lang w:eastAsia="en-AU"/>
            </w:rPr>
          </w:pPr>
          <w:hyperlink w:anchor="_Toc12540753" w:history="1">
            <w:r w:rsidR="0092575B" w:rsidRPr="0092575B">
              <w:rPr>
                <w:rStyle w:val="Hyperlink"/>
                <w:b w:val="0"/>
              </w:rPr>
              <w:t>Background</w:t>
            </w:r>
            <w:r w:rsidR="0092575B" w:rsidRPr="0092575B">
              <w:rPr>
                <w:b w:val="0"/>
                <w:webHidden/>
              </w:rPr>
              <w:tab/>
            </w:r>
            <w:r w:rsidR="0092575B" w:rsidRPr="0092575B">
              <w:rPr>
                <w:b w:val="0"/>
                <w:webHidden/>
              </w:rPr>
              <w:fldChar w:fldCharType="begin"/>
            </w:r>
            <w:r w:rsidR="0092575B" w:rsidRPr="0092575B">
              <w:rPr>
                <w:b w:val="0"/>
                <w:webHidden/>
              </w:rPr>
              <w:instrText xml:space="preserve"> PAGEREF _Toc12540753 \h </w:instrText>
            </w:r>
            <w:r w:rsidR="0092575B" w:rsidRPr="0092575B">
              <w:rPr>
                <w:b w:val="0"/>
                <w:webHidden/>
              </w:rPr>
            </w:r>
            <w:r w:rsidR="0092575B" w:rsidRPr="0092575B">
              <w:rPr>
                <w:b w:val="0"/>
                <w:webHidden/>
              </w:rPr>
              <w:fldChar w:fldCharType="separate"/>
            </w:r>
            <w:r w:rsidR="0092575B" w:rsidRPr="0092575B">
              <w:rPr>
                <w:b w:val="0"/>
                <w:webHidden/>
              </w:rPr>
              <w:t>4</w:t>
            </w:r>
            <w:r w:rsidR="0092575B" w:rsidRPr="0092575B">
              <w:rPr>
                <w:b w:val="0"/>
                <w:webHidden/>
              </w:rPr>
              <w:fldChar w:fldCharType="end"/>
            </w:r>
          </w:hyperlink>
        </w:p>
        <w:p w:rsidR="0092575B" w:rsidRPr="0092575B" w:rsidRDefault="0084743B">
          <w:pPr>
            <w:pStyle w:val="TOC1"/>
            <w:rPr>
              <w:rFonts w:asciiTheme="minorHAnsi" w:eastAsiaTheme="minorEastAsia" w:hAnsiTheme="minorHAnsi" w:cstheme="minorBidi"/>
              <w:b w:val="0"/>
              <w:szCs w:val="22"/>
              <w:lang w:eastAsia="en-AU"/>
            </w:rPr>
          </w:pPr>
          <w:hyperlink w:anchor="_Toc12540754" w:history="1">
            <w:r w:rsidR="0092575B" w:rsidRPr="0092575B">
              <w:rPr>
                <w:rStyle w:val="Hyperlink"/>
                <w:b w:val="0"/>
              </w:rPr>
              <w:t>Definitions</w:t>
            </w:r>
            <w:r w:rsidR="0092575B" w:rsidRPr="0092575B">
              <w:rPr>
                <w:b w:val="0"/>
                <w:webHidden/>
              </w:rPr>
              <w:tab/>
            </w:r>
            <w:r w:rsidR="0092575B" w:rsidRPr="0092575B">
              <w:rPr>
                <w:b w:val="0"/>
                <w:webHidden/>
              </w:rPr>
              <w:fldChar w:fldCharType="begin"/>
            </w:r>
            <w:r w:rsidR="0092575B" w:rsidRPr="0092575B">
              <w:rPr>
                <w:b w:val="0"/>
                <w:webHidden/>
              </w:rPr>
              <w:instrText xml:space="preserve"> PAGEREF _Toc12540754 \h </w:instrText>
            </w:r>
            <w:r w:rsidR="0092575B" w:rsidRPr="0092575B">
              <w:rPr>
                <w:b w:val="0"/>
                <w:webHidden/>
              </w:rPr>
            </w:r>
            <w:r w:rsidR="0092575B" w:rsidRPr="0092575B">
              <w:rPr>
                <w:b w:val="0"/>
                <w:webHidden/>
              </w:rPr>
              <w:fldChar w:fldCharType="separate"/>
            </w:r>
            <w:r w:rsidR="0092575B" w:rsidRPr="0092575B">
              <w:rPr>
                <w:b w:val="0"/>
                <w:webHidden/>
              </w:rPr>
              <w:t>5</w:t>
            </w:r>
            <w:r w:rsidR="0092575B" w:rsidRPr="0092575B">
              <w:rPr>
                <w:b w:val="0"/>
                <w:webHidden/>
              </w:rPr>
              <w:fldChar w:fldCharType="end"/>
            </w:r>
          </w:hyperlink>
        </w:p>
        <w:p w:rsidR="0092575B" w:rsidRPr="0092575B" w:rsidRDefault="0084743B">
          <w:pPr>
            <w:pStyle w:val="TOC2"/>
            <w:rPr>
              <w:rFonts w:asciiTheme="minorHAnsi" w:eastAsiaTheme="minorEastAsia" w:hAnsiTheme="minorHAnsi" w:cstheme="minorBidi"/>
              <w:szCs w:val="22"/>
            </w:rPr>
          </w:pPr>
          <w:hyperlink w:anchor="_Toc12540755" w:history="1">
            <w:r w:rsidR="0092575B" w:rsidRPr="0092575B">
              <w:rPr>
                <w:rStyle w:val="Hyperlink"/>
              </w:rPr>
              <w:t>Surveillance definitions</w:t>
            </w:r>
            <w:r w:rsidR="0092575B" w:rsidRPr="0092575B">
              <w:rPr>
                <w:webHidden/>
              </w:rPr>
              <w:tab/>
            </w:r>
            <w:r w:rsidR="0092575B" w:rsidRPr="0092575B">
              <w:rPr>
                <w:webHidden/>
              </w:rPr>
              <w:fldChar w:fldCharType="begin"/>
            </w:r>
            <w:r w:rsidR="0092575B" w:rsidRPr="0092575B">
              <w:rPr>
                <w:webHidden/>
              </w:rPr>
              <w:instrText xml:space="preserve"> PAGEREF _Toc12540755 \h </w:instrText>
            </w:r>
            <w:r w:rsidR="0092575B" w:rsidRPr="0092575B">
              <w:rPr>
                <w:webHidden/>
              </w:rPr>
            </w:r>
            <w:r w:rsidR="0092575B" w:rsidRPr="0092575B">
              <w:rPr>
                <w:webHidden/>
              </w:rPr>
              <w:fldChar w:fldCharType="separate"/>
            </w:r>
            <w:r w:rsidR="0092575B" w:rsidRPr="0092575B">
              <w:rPr>
                <w:webHidden/>
              </w:rPr>
              <w:t>6</w:t>
            </w:r>
            <w:r w:rsidR="0092575B" w:rsidRPr="0092575B">
              <w:rPr>
                <w:webHidden/>
              </w:rPr>
              <w:fldChar w:fldCharType="end"/>
            </w:r>
          </w:hyperlink>
        </w:p>
        <w:p w:rsidR="0092575B" w:rsidRPr="0092575B" w:rsidRDefault="0084743B">
          <w:pPr>
            <w:pStyle w:val="TOC2"/>
            <w:rPr>
              <w:rFonts w:asciiTheme="minorHAnsi" w:eastAsiaTheme="minorEastAsia" w:hAnsiTheme="minorHAnsi" w:cstheme="minorBidi"/>
              <w:szCs w:val="22"/>
            </w:rPr>
          </w:pPr>
          <w:hyperlink w:anchor="_Toc12540756" w:history="1">
            <w:r w:rsidR="0092575B" w:rsidRPr="0092575B">
              <w:rPr>
                <w:rStyle w:val="Hyperlink"/>
              </w:rPr>
              <w:t>Rate calculations</w:t>
            </w:r>
            <w:r w:rsidR="0092575B" w:rsidRPr="0092575B">
              <w:rPr>
                <w:webHidden/>
              </w:rPr>
              <w:tab/>
            </w:r>
            <w:r w:rsidR="0092575B" w:rsidRPr="0092575B">
              <w:rPr>
                <w:webHidden/>
              </w:rPr>
              <w:fldChar w:fldCharType="begin"/>
            </w:r>
            <w:r w:rsidR="0092575B" w:rsidRPr="0092575B">
              <w:rPr>
                <w:webHidden/>
              </w:rPr>
              <w:instrText xml:space="preserve"> PAGEREF _Toc12540756 \h </w:instrText>
            </w:r>
            <w:r w:rsidR="0092575B" w:rsidRPr="0092575B">
              <w:rPr>
                <w:webHidden/>
              </w:rPr>
            </w:r>
            <w:r w:rsidR="0092575B" w:rsidRPr="0092575B">
              <w:rPr>
                <w:webHidden/>
              </w:rPr>
              <w:fldChar w:fldCharType="separate"/>
            </w:r>
            <w:r w:rsidR="0092575B" w:rsidRPr="0092575B">
              <w:rPr>
                <w:webHidden/>
              </w:rPr>
              <w:t>6</w:t>
            </w:r>
            <w:r w:rsidR="0092575B" w:rsidRPr="0092575B">
              <w:rPr>
                <w:webHidden/>
              </w:rPr>
              <w:fldChar w:fldCharType="end"/>
            </w:r>
          </w:hyperlink>
        </w:p>
        <w:p w:rsidR="0092575B" w:rsidRPr="0092575B" w:rsidRDefault="0084743B">
          <w:pPr>
            <w:pStyle w:val="TOC1"/>
            <w:rPr>
              <w:rFonts w:asciiTheme="minorHAnsi" w:eastAsiaTheme="minorEastAsia" w:hAnsiTheme="minorHAnsi" w:cstheme="minorBidi"/>
              <w:b w:val="0"/>
              <w:szCs w:val="22"/>
              <w:lang w:eastAsia="en-AU"/>
            </w:rPr>
          </w:pPr>
          <w:hyperlink w:anchor="_Toc12540757" w:history="1">
            <w:r w:rsidR="0092575B" w:rsidRPr="0092575B">
              <w:rPr>
                <w:rStyle w:val="Hyperlink"/>
                <w:b w:val="0"/>
                <w:i/>
              </w:rPr>
              <w:t>Staphylococcus aureus</w:t>
            </w:r>
            <w:r w:rsidR="0092575B" w:rsidRPr="0092575B">
              <w:rPr>
                <w:rStyle w:val="Hyperlink"/>
                <w:b w:val="0"/>
              </w:rPr>
              <w:t xml:space="preserve"> bacteraemia in Tasmania</w:t>
            </w:r>
            <w:r w:rsidR="0092575B" w:rsidRPr="0092575B">
              <w:rPr>
                <w:b w:val="0"/>
                <w:webHidden/>
              </w:rPr>
              <w:tab/>
            </w:r>
            <w:r w:rsidR="0092575B" w:rsidRPr="0092575B">
              <w:rPr>
                <w:b w:val="0"/>
                <w:webHidden/>
              </w:rPr>
              <w:fldChar w:fldCharType="begin"/>
            </w:r>
            <w:r w:rsidR="0092575B" w:rsidRPr="0092575B">
              <w:rPr>
                <w:b w:val="0"/>
                <w:webHidden/>
              </w:rPr>
              <w:instrText xml:space="preserve"> PAGEREF _Toc12540757 \h </w:instrText>
            </w:r>
            <w:r w:rsidR="0092575B" w:rsidRPr="0092575B">
              <w:rPr>
                <w:b w:val="0"/>
                <w:webHidden/>
              </w:rPr>
            </w:r>
            <w:r w:rsidR="0092575B" w:rsidRPr="0092575B">
              <w:rPr>
                <w:b w:val="0"/>
                <w:webHidden/>
              </w:rPr>
              <w:fldChar w:fldCharType="separate"/>
            </w:r>
            <w:r w:rsidR="0092575B" w:rsidRPr="0092575B">
              <w:rPr>
                <w:b w:val="0"/>
                <w:webHidden/>
              </w:rPr>
              <w:t>7</w:t>
            </w:r>
            <w:r w:rsidR="0092575B" w:rsidRPr="0092575B">
              <w:rPr>
                <w:b w:val="0"/>
                <w:webHidden/>
              </w:rPr>
              <w:fldChar w:fldCharType="end"/>
            </w:r>
          </w:hyperlink>
        </w:p>
        <w:p w:rsidR="0092575B" w:rsidRPr="0092575B" w:rsidRDefault="0084743B">
          <w:pPr>
            <w:pStyle w:val="TOC1"/>
            <w:rPr>
              <w:rFonts w:asciiTheme="minorHAnsi" w:eastAsiaTheme="minorEastAsia" w:hAnsiTheme="minorHAnsi" w:cstheme="minorBidi"/>
              <w:b w:val="0"/>
              <w:szCs w:val="22"/>
              <w:lang w:eastAsia="en-AU"/>
            </w:rPr>
          </w:pPr>
          <w:hyperlink w:anchor="_Toc12540758" w:history="1">
            <w:r w:rsidR="0092575B" w:rsidRPr="0092575B">
              <w:rPr>
                <w:rStyle w:val="Hyperlink"/>
                <w:b w:val="0"/>
              </w:rPr>
              <w:t>SAB and methicillin susceptibility</w:t>
            </w:r>
            <w:r w:rsidR="0092575B" w:rsidRPr="0092575B">
              <w:rPr>
                <w:b w:val="0"/>
                <w:webHidden/>
              </w:rPr>
              <w:tab/>
            </w:r>
            <w:r w:rsidR="0092575B" w:rsidRPr="0092575B">
              <w:rPr>
                <w:b w:val="0"/>
                <w:webHidden/>
              </w:rPr>
              <w:fldChar w:fldCharType="begin"/>
            </w:r>
            <w:r w:rsidR="0092575B" w:rsidRPr="0092575B">
              <w:rPr>
                <w:b w:val="0"/>
                <w:webHidden/>
              </w:rPr>
              <w:instrText xml:space="preserve"> PAGEREF _Toc12540758 \h </w:instrText>
            </w:r>
            <w:r w:rsidR="0092575B" w:rsidRPr="0092575B">
              <w:rPr>
                <w:b w:val="0"/>
                <w:webHidden/>
              </w:rPr>
            </w:r>
            <w:r w:rsidR="0092575B" w:rsidRPr="0092575B">
              <w:rPr>
                <w:b w:val="0"/>
                <w:webHidden/>
              </w:rPr>
              <w:fldChar w:fldCharType="separate"/>
            </w:r>
            <w:r w:rsidR="0092575B" w:rsidRPr="0092575B">
              <w:rPr>
                <w:b w:val="0"/>
                <w:webHidden/>
              </w:rPr>
              <w:t>8</w:t>
            </w:r>
            <w:r w:rsidR="0092575B" w:rsidRPr="0092575B">
              <w:rPr>
                <w:b w:val="0"/>
                <w:webHidden/>
              </w:rPr>
              <w:fldChar w:fldCharType="end"/>
            </w:r>
          </w:hyperlink>
        </w:p>
        <w:p w:rsidR="0092575B" w:rsidRPr="0092575B" w:rsidRDefault="0084743B">
          <w:pPr>
            <w:pStyle w:val="TOC1"/>
            <w:rPr>
              <w:rFonts w:asciiTheme="minorHAnsi" w:eastAsiaTheme="minorEastAsia" w:hAnsiTheme="minorHAnsi" w:cstheme="minorBidi"/>
              <w:b w:val="0"/>
              <w:szCs w:val="22"/>
              <w:lang w:eastAsia="en-AU"/>
            </w:rPr>
          </w:pPr>
          <w:hyperlink w:anchor="_Toc12540759" w:history="1">
            <w:r w:rsidR="0092575B" w:rsidRPr="0092575B">
              <w:rPr>
                <w:rStyle w:val="Hyperlink"/>
                <w:b w:val="0"/>
              </w:rPr>
              <w:t>Community associated SAB</w:t>
            </w:r>
            <w:r w:rsidR="0092575B" w:rsidRPr="0092575B">
              <w:rPr>
                <w:b w:val="0"/>
                <w:webHidden/>
              </w:rPr>
              <w:tab/>
            </w:r>
            <w:r w:rsidR="0092575B" w:rsidRPr="0092575B">
              <w:rPr>
                <w:b w:val="0"/>
                <w:webHidden/>
              </w:rPr>
              <w:fldChar w:fldCharType="begin"/>
            </w:r>
            <w:r w:rsidR="0092575B" w:rsidRPr="0092575B">
              <w:rPr>
                <w:b w:val="0"/>
                <w:webHidden/>
              </w:rPr>
              <w:instrText xml:space="preserve"> PAGEREF _Toc12540759 \h </w:instrText>
            </w:r>
            <w:r w:rsidR="0092575B" w:rsidRPr="0092575B">
              <w:rPr>
                <w:b w:val="0"/>
                <w:webHidden/>
              </w:rPr>
            </w:r>
            <w:r w:rsidR="0092575B" w:rsidRPr="0092575B">
              <w:rPr>
                <w:b w:val="0"/>
                <w:webHidden/>
              </w:rPr>
              <w:fldChar w:fldCharType="separate"/>
            </w:r>
            <w:r w:rsidR="0092575B" w:rsidRPr="0092575B">
              <w:rPr>
                <w:b w:val="0"/>
                <w:webHidden/>
              </w:rPr>
              <w:t>9</w:t>
            </w:r>
            <w:r w:rsidR="0092575B" w:rsidRPr="0092575B">
              <w:rPr>
                <w:b w:val="0"/>
                <w:webHidden/>
              </w:rPr>
              <w:fldChar w:fldCharType="end"/>
            </w:r>
          </w:hyperlink>
        </w:p>
        <w:p w:rsidR="0092575B" w:rsidRPr="0092575B" w:rsidRDefault="0084743B">
          <w:pPr>
            <w:pStyle w:val="TOC1"/>
            <w:rPr>
              <w:rFonts w:asciiTheme="minorHAnsi" w:eastAsiaTheme="minorEastAsia" w:hAnsiTheme="minorHAnsi" w:cstheme="minorBidi"/>
              <w:b w:val="0"/>
              <w:szCs w:val="22"/>
              <w:lang w:eastAsia="en-AU"/>
            </w:rPr>
          </w:pPr>
          <w:hyperlink w:anchor="_Toc12540760" w:history="1">
            <w:r w:rsidR="0092575B" w:rsidRPr="0092575B">
              <w:rPr>
                <w:rStyle w:val="Hyperlink"/>
                <w:b w:val="0"/>
              </w:rPr>
              <w:t>Healthcare associated SAB</w:t>
            </w:r>
            <w:r w:rsidR="0092575B" w:rsidRPr="0092575B">
              <w:rPr>
                <w:b w:val="0"/>
                <w:webHidden/>
              </w:rPr>
              <w:tab/>
            </w:r>
            <w:r w:rsidR="0092575B" w:rsidRPr="0092575B">
              <w:rPr>
                <w:b w:val="0"/>
                <w:webHidden/>
              </w:rPr>
              <w:fldChar w:fldCharType="begin"/>
            </w:r>
            <w:r w:rsidR="0092575B" w:rsidRPr="0092575B">
              <w:rPr>
                <w:b w:val="0"/>
                <w:webHidden/>
              </w:rPr>
              <w:instrText xml:space="preserve"> PAGEREF _Toc12540760 \h </w:instrText>
            </w:r>
            <w:r w:rsidR="0092575B" w:rsidRPr="0092575B">
              <w:rPr>
                <w:b w:val="0"/>
                <w:webHidden/>
              </w:rPr>
            </w:r>
            <w:r w:rsidR="0092575B" w:rsidRPr="0092575B">
              <w:rPr>
                <w:b w:val="0"/>
                <w:webHidden/>
              </w:rPr>
              <w:fldChar w:fldCharType="separate"/>
            </w:r>
            <w:r w:rsidR="0092575B" w:rsidRPr="0092575B">
              <w:rPr>
                <w:b w:val="0"/>
                <w:webHidden/>
              </w:rPr>
              <w:t>10</w:t>
            </w:r>
            <w:r w:rsidR="0092575B" w:rsidRPr="0092575B">
              <w:rPr>
                <w:b w:val="0"/>
                <w:webHidden/>
              </w:rPr>
              <w:fldChar w:fldCharType="end"/>
            </w:r>
          </w:hyperlink>
        </w:p>
        <w:p w:rsidR="0092575B" w:rsidRPr="0092575B" w:rsidRDefault="0084743B">
          <w:pPr>
            <w:pStyle w:val="TOC2"/>
            <w:rPr>
              <w:rFonts w:asciiTheme="minorHAnsi" w:eastAsiaTheme="minorEastAsia" w:hAnsiTheme="minorHAnsi" w:cstheme="minorBidi"/>
              <w:szCs w:val="22"/>
            </w:rPr>
          </w:pPr>
          <w:hyperlink w:anchor="_Toc12540761" w:history="1">
            <w:r w:rsidR="0092575B" w:rsidRPr="0092575B">
              <w:rPr>
                <w:rStyle w:val="Hyperlink"/>
              </w:rPr>
              <w:t>Individual hospital HCA SAB rate comparisons with National peer group average</w:t>
            </w:r>
            <w:r w:rsidR="0092575B" w:rsidRPr="0092575B">
              <w:rPr>
                <w:webHidden/>
              </w:rPr>
              <w:tab/>
            </w:r>
            <w:r w:rsidR="0092575B" w:rsidRPr="0092575B">
              <w:rPr>
                <w:webHidden/>
              </w:rPr>
              <w:fldChar w:fldCharType="begin"/>
            </w:r>
            <w:r w:rsidR="0092575B" w:rsidRPr="0092575B">
              <w:rPr>
                <w:webHidden/>
              </w:rPr>
              <w:instrText xml:space="preserve"> PAGEREF _Toc12540761 \h </w:instrText>
            </w:r>
            <w:r w:rsidR="0092575B" w:rsidRPr="0092575B">
              <w:rPr>
                <w:webHidden/>
              </w:rPr>
            </w:r>
            <w:r w:rsidR="0092575B" w:rsidRPr="0092575B">
              <w:rPr>
                <w:webHidden/>
              </w:rPr>
              <w:fldChar w:fldCharType="separate"/>
            </w:r>
            <w:r w:rsidR="0092575B" w:rsidRPr="0092575B">
              <w:rPr>
                <w:webHidden/>
              </w:rPr>
              <w:t>12</w:t>
            </w:r>
            <w:r w:rsidR="0092575B" w:rsidRPr="0092575B">
              <w:rPr>
                <w:webHidden/>
              </w:rPr>
              <w:fldChar w:fldCharType="end"/>
            </w:r>
          </w:hyperlink>
        </w:p>
        <w:p w:rsidR="0092575B" w:rsidRPr="0092575B" w:rsidRDefault="0084743B">
          <w:pPr>
            <w:pStyle w:val="TOC2"/>
            <w:rPr>
              <w:rFonts w:asciiTheme="minorHAnsi" w:eastAsiaTheme="minorEastAsia" w:hAnsiTheme="minorHAnsi" w:cstheme="minorBidi"/>
              <w:szCs w:val="22"/>
            </w:rPr>
          </w:pPr>
          <w:hyperlink w:anchor="_Toc12540762" w:history="1">
            <w:r w:rsidR="0092575B" w:rsidRPr="0092575B">
              <w:rPr>
                <w:rStyle w:val="Hyperlink"/>
              </w:rPr>
              <w:t>Device related HCA SAB</w:t>
            </w:r>
            <w:r w:rsidR="0092575B" w:rsidRPr="0092575B">
              <w:rPr>
                <w:webHidden/>
              </w:rPr>
              <w:tab/>
            </w:r>
            <w:r w:rsidR="0092575B" w:rsidRPr="0092575B">
              <w:rPr>
                <w:webHidden/>
              </w:rPr>
              <w:fldChar w:fldCharType="begin"/>
            </w:r>
            <w:r w:rsidR="0092575B" w:rsidRPr="0092575B">
              <w:rPr>
                <w:webHidden/>
              </w:rPr>
              <w:instrText xml:space="preserve"> PAGEREF _Toc12540762 \h </w:instrText>
            </w:r>
            <w:r w:rsidR="0092575B" w:rsidRPr="0092575B">
              <w:rPr>
                <w:webHidden/>
              </w:rPr>
            </w:r>
            <w:r w:rsidR="0092575B" w:rsidRPr="0092575B">
              <w:rPr>
                <w:webHidden/>
              </w:rPr>
              <w:fldChar w:fldCharType="separate"/>
            </w:r>
            <w:r w:rsidR="0092575B" w:rsidRPr="0092575B">
              <w:rPr>
                <w:webHidden/>
              </w:rPr>
              <w:t>15</w:t>
            </w:r>
            <w:r w:rsidR="0092575B" w:rsidRPr="0092575B">
              <w:rPr>
                <w:webHidden/>
              </w:rPr>
              <w:fldChar w:fldCharType="end"/>
            </w:r>
          </w:hyperlink>
        </w:p>
        <w:p w:rsidR="0092575B" w:rsidRPr="0092575B" w:rsidRDefault="0084743B">
          <w:pPr>
            <w:pStyle w:val="TOC1"/>
            <w:rPr>
              <w:rFonts w:asciiTheme="minorHAnsi" w:eastAsiaTheme="minorEastAsia" w:hAnsiTheme="minorHAnsi" w:cstheme="minorBidi"/>
              <w:b w:val="0"/>
              <w:szCs w:val="22"/>
              <w:lang w:eastAsia="en-AU"/>
            </w:rPr>
          </w:pPr>
          <w:hyperlink w:anchor="_Toc12540763" w:history="1">
            <w:r w:rsidR="0092575B" w:rsidRPr="0092575B">
              <w:rPr>
                <w:rStyle w:val="Hyperlink"/>
                <w:b w:val="0"/>
              </w:rPr>
              <w:t>Key findings</w:t>
            </w:r>
            <w:r w:rsidR="0092575B" w:rsidRPr="0092575B">
              <w:rPr>
                <w:b w:val="0"/>
                <w:webHidden/>
              </w:rPr>
              <w:tab/>
            </w:r>
            <w:r w:rsidR="0092575B" w:rsidRPr="0092575B">
              <w:rPr>
                <w:b w:val="0"/>
                <w:webHidden/>
              </w:rPr>
              <w:fldChar w:fldCharType="begin"/>
            </w:r>
            <w:r w:rsidR="0092575B" w:rsidRPr="0092575B">
              <w:rPr>
                <w:b w:val="0"/>
                <w:webHidden/>
              </w:rPr>
              <w:instrText xml:space="preserve"> PAGEREF _Toc12540763 \h </w:instrText>
            </w:r>
            <w:r w:rsidR="0092575B" w:rsidRPr="0092575B">
              <w:rPr>
                <w:b w:val="0"/>
                <w:webHidden/>
              </w:rPr>
            </w:r>
            <w:r w:rsidR="0092575B" w:rsidRPr="0092575B">
              <w:rPr>
                <w:b w:val="0"/>
                <w:webHidden/>
              </w:rPr>
              <w:fldChar w:fldCharType="separate"/>
            </w:r>
            <w:r w:rsidR="0092575B" w:rsidRPr="0092575B">
              <w:rPr>
                <w:b w:val="0"/>
                <w:webHidden/>
              </w:rPr>
              <w:t>16</w:t>
            </w:r>
            <w:r w:rsidR="0092575B" w:rsidRPr="0092575B">
              <w:rPr>
                <w:b w:val="0"/>
                <w:webHidden/>
              </w:rPr>
              <w:fldChar w:fldCharType="end"/>
            </w:r>
          </w:hyperlink>
        </w:p>
        <w:p w:rsidR="0092575B" w:rsidRPr="0092575B" w:rsidRDefault="0084743B">
          <w:pPr>
            <w:pStyle w:val="TOC1"/>
            <w:rPr>
              <w:rFonts w:asciiTheme="minorHAnsi" w:eastAsiaTheme="minorEastAsia" w:hAnsiTheme="minorHAnsi" w:cstheme="minorBidi"/>
              <w:b w:val="0"/>
              <w:szCs w:val="22"/>
              <w:lang w:eastAsia="en-AU"/>
            </w:rPr>
          </w:pPr>
          <w:hyperlink w:anchor="_Toc12540764" w:history="1">
            <w:r w:rsidR="0092575B" w:rsidRPr="0092575B">
              <w:rPr>
                <w:rStyle w:val="Hyperlink"/>
                <w:b w:val="0"/>
              </w:rPr>
              <w:t>References</w:t>
            </w:r>
            <w:r w:rsidR="0092575B" w:rsidRPr="0092575B">
              <w:rPr>
                <w:b w:val="0"/>
                <w:webHidden/>
              </w:rPr>
              <w:tab/>
            </w:r>
            <w:r w:rsidR="0092575B" w:rsidRPr="0092575B">
              <w:rPr>
                <w:b w:val="0"/>
                <w:webHidden/>
              </w:rPr>
              <w:fldChar w:fldCharType="begin"/>
            </w:r>
            <w:r w:rsidR="0092575B" w:rsidRPr="0092575B">
              <w:rPr>
                <w:b w:val="0"/>
                <w:webHidden/>
              </w:rPr>
              <w:instrText xml:space="preserve"> PAGEREF _Toc12540764 \h </w:instrText>
            </w:r>
            <w:r w:rsidR="0092575B" w:rsidRPr="0092575B">
              <w:rPr>
                <w:b w:val="0"/>
                <w:webHidden/>
              </w:rPr>
            </w:r>
            <w:r w:rsidR="0092575B" w:rsidRPr="0092575B">
              <w:rPr>
                <w:b w:val="0"/>
                <w:webHidden/>
              </w:rPr>
              <w:fldChar w:fldCharType="separate"/>
            </w:r>
            <w:r w:rsidR="0092575B" w:rsidRPr="0092575B">
              <w:rPr>
                <w:b w:val="0"/>
                <w:webHidden/>
              </w:rPr>
              <w:t>17</w:t>
            </w:r>
            <w:r w:rsidR="0092575B" w:rsidRPr="0092575B">
              <w:rPr>
                <w:b w:val="0"/>
                <w:webHidden/>
              </w:rPr>
              <w:fldChar w:fldCharType="end"/>
            </w:r>
          </w:hyperlink>
        </w:p>
        <w:p w:rsidR="00884902" w:rsidRPr="00884902" w:rsidRDefault="00884902">
          <w:pPr>
            <w:spacing w:after="336"/>
          </w:pPr>
          <w:r w:rsidRPr="0092575B">
            <w:rPr>
              <w:bCs/>
              <w:noProof/>
            </w:rPr>
            <w:fldChar w:fldCharType="end"/>
          </w:r>
        </w:p>
      </w:sdtContent>
    </w:sdt>
    <w:p w:rsidR="00884902" w:rsidRPr="00884902" w:rsidRDefault="00884902">
      <w:pPr>
        <w:pStyle w:val="TableofFigures"/>
        <w:tabs>
          <w:tab w:val="right" w:leader="dot" w:pos="9016"/>
        </w:tabs>
      </w:pPr>
    </w:p>
    <w:p w:rsidR="0092575B" w:rsidRPr="0092575B" w:rsidRDefault="00884902" w:rsidP="0092575B">
      <w:pPr>
        <w:pStyle w:val="TableofFigures"/>
        <w:tabs>
          <w:tab w:val="right" w:pos="9016"/>
        </w:tabs>
        <w:spacing w:after="140" w:line="300" w:lineRule="atLeast"/>
        <w:rPr>
          <w:rFonts w:asciiTheme="minorHAnsi" w:eastAsiaTheme="minorEastAsia" w:hAnsiTheme="minorHAnsi"/>
          <w:noProof/>
          <w:lang w:eastAsia="en-AU"/>
        </w:rPr>
      </w:pPr>
      <w:r w:rsidRPr="0092575B">
        <w:fldChar w:fldCharType="begin"/>
      </w:r>
      <w:r w:rsidRPr="0092575B">
        <w:instrText xml:space="preserve"> TOC \h \z \c "Figure" </w:instrText>
      </w:r>
      <w:r w:rsidRPr="0092575B">
        <w:fldChar w:fldCharType="separate"/>
      </w:r>
      <w:hyperlink w:anchor="_Toc12540712" w:history="1">
        <w:r w:rsidR="0092575B" w:rsidRPr="0092575B">
          <w:rPr>
            <w:rStyle w:val="Hyperlink"/>
            <w:rFonts w:eastAsia="Times New Roman" w:cs="Times New Roman"/>
            <w:bCs/>
            <w:noProof/>
          </w:rPr>
          <w:t xml:space="preserve">Figure 1 </w:t>
        </w:r>
        <w:r w:rsidR="0092575B" w:rsidRPr="0092575B">
          <w:rPr>
            <w:rStyle w:val="Hyperlink"/>
            <w:noProof/>
          </w:rPr>
          <w:t>SAB</w:t>
        </w:r>
        <w:r w:rsidR="0092575B" w:rsidRPr="0092575B">
          <w:rPr>
            <w:rStyle w:val="Hyperlink"/>
            <w:i/>
            <w:noProof/>
          </w:rPr>
          <w:t xml:space="preserve"> </w:t>
        </w:r>
        <w:r w:rsidR="0092575B" w:rsidRPr="0092575B">
          <w:rPr>
            <w:rStyle w:val="Hyperlink"/>
            <w:rFonts w:eastAsia="Times New Roman" w:cs="Times New Roman"/>
            <w:noProof/>
          </w:rPr>
          <w:t>- Tasmanian number and incidence per year</w:t>
        </w:r>
        <w:r w:rsidR="0092575B" w:rsidRPr="0092575B">
          <w:rPr>
            <w:noProof/>
            <w:webHidden/>
          </w:rPr>
          <w:tab/>
        </w:r>
        <w:r w:rsidR="0092575B" w:rsidRPr="0092575B">
          <w:rPr>
            <w:noProof/>
            <w:webHidden/>
          </w:rPr>
          <w:fldChar w:fldCharType="begin"/>
        </w:r>
        <w:r w:rsidR="0092575B" w:rsidRPr="0092575B">
          <w:rPr>
            <w:noProof/>
            <w:webHidden/>
          </w:rPr>
          <w:instrText xml:space="preserve"> PAGEREF _Toc12540712 \h </w:instrText>
        </w:r>
        <w:r w:rsidR="0092575B" w:rsidRPr="0092575B">
          <w:rPr>
            <w:noProof/>
            <w:webHidden/>
          </w:rPr>
        </w:r>
        <w:r w:rsidR="0092575B" w:rsidRPr="0092575B">
          <w:rPr>
            <w:noProof/>
            <w:webHidden/>
          </w:rPr>
          <w:fldChar w:fldCharType="separate"/>
        </w:r>
        <w:r w:rsidR="0092575B" w:rsidRPr="0092575B">
          <w:rPr>
            <w:noProof/>
            <w:webHidden/>
          </w:rPr>
          <w:t>7</w:t>
        </w:r>
        <w:r w:rsidR="0092575B" w:rsidRPr="0092575B">
          <w:rPr>
            <w:noProof/>
            <w:webHidden/>
          </w:rPr>
          <w:fldChar w:fldCharType="end"/>
        </w:r>
      </w:hyperlink>
    </w:p>
    <w:p w:rsidR="0092575B" w:rsidRPr="0092575B" w:rsidRDefault="0084743B" w:rsidP="0092575B">
      <w:pPr>
        <w:pStyle w:val="TableofFigures"/>
        <w:tabs>
          <w:tab w:val="right" w:pos="9016"/>
        </w:tabs>
        <w:spacing w:after="140" w:line="300" w:lineRule="atLeast"/>
        <w:rPr>
          <w:rFonts w:asciiTheme="minorHAnsi" w:eastAsiaTheme="minorEastAsia" w:hAnsiTheme="minorHAnsi"/>
          <w:noProof/>
          <w:lang w:eastAsia="en-AU"/>
        </w:rPr>
      </w:pPr>
      <w:hyperlink w:anchor="_Toc12540713" w:history="1">
        <w:r w:rsidR="0092575B" w:rsidRPr="0092575B">
          <w:rPr>
            <w:rStyle w:val="Hyperlink"/>
            <w:noProof/>
          </w:rPr>
          <w:t>Figure 2 SAB classification - Tasmanian number per year</w:t>
        </w:r>
        <w:r w:rsidR="0092575B" w:rsidRPr="0092575B">
          <w:rPr>
            <w:noProof/>
            <w:webHidden/>
          </w:rPr>
          <w:tab/>
        </w:r>
        <w:r w:rsidR="0092575B" w:rsidRPr="0092575B">
          <w:rPr>
            <w:noProof/>
            <w:webHidden/>
          </w:rPr>
          <w:fldChar w:fldCharType="begin"/>
        </w:r>
        <w:r w:rsidR="0092575B" w:rsidRPr="0092575B">
          <w:rPr>
            <w:noProof/>
            <w:webHidden/>
          </w:rPr>
          <w:instrText xml:space="preserve"> PAGEREF _Toc12540713 \h </w:instrText>
        </w:r>
        <w:r w:rsidR="0092575B" w:rsidRPr="0092575B">
          <w:rPr>
            <w:noProof/>
            <w:webHidden/>
          </w:rPr>
        </w:r>
        <w:r w:rsidR="0092575B" w:rsidRPr="0092575B">
          <w:rPr>
            <w:noProof/>
            <w:webHidden/>
          </w:rPr>
          <w:fldChar w:fldCharType="separate"/>
        </w:r>
        <w:r w:rsidR="0092575B" w:rsidRPr="0092575B">
          <w:rPr>
            <w:noProof/>
            <w:webHidden/>
          </w:rPr>
          <w:t>7</w:t>
        </w:r>
        <w:r w:rsidR="0092575B" w:rsidRPr="0092575B">
          <w:rPr>
            <w:noProof/>
            <w:webHidden/>
          </w:rPr>
          <w:fldChar w:fldCharType="end"/>
        </w:r>
      </w:hyperlink>
    </w:p>
    <w:p w:rsidR="0092575B" w:rsidRPr="0092575B" w:rsidRDefault="0084743B" w:rsidP="0092575B">
      <w:pPr>
        <w:pStyle w:val="TableofFigures"/>
        <w:tabs>
          <w:tab w:val="right" w:pos="9016"/>
        </w:tabs>
        <w:spacing w:after="140" w:line="300" w:lineRule="atLeast"/>
        <w:rPr>
          <w:rFonts w:asciiTheme="minorHAnsi" w:eastAsiaTheme="minorEastAsia" w:hAnsiTheme="minorHAnsi"/>
          <w:noProof/>
          <w:lang w:eastAsia="en-AU"/>
        </w:rPr>
      </w:pPr>
      <w:hyperlink w:anchor="_Toc12540714" w:history="1">
        <w:r w:rsidR="0092575B" w:rsidRPr="0092575B">
          <w:rPr>
            <w:rStyle w:val="Hyperlink"/>
            <w:noProof/>
          </w:rPr>
          <w:t>Figure 3 Number of MSSA and MRSA SAB</w:t>
        </w:r>
        <w:r w:rsidR="0092575B" w:rsidRPr="0092575B">
          <w:rPr>
            <w:noProof/>
            <w:webHidden/>
          </w:rPr>
          <w:tab/>
        </w:r>
        <w:r w:rsidR="0092575B" w:rsidRPr="0092575B">
          <w:rPr>
            <w:noProof/>
            <w:webHidden/>
          </w:rPr>
          <w:fldChar w:fldCharType="begin"/>
        </w:r>
        <w:r w:rsidR="0092575B" w:rsidRPr="0092575B">
          <w:rPr>
            <w:noProof/>
            <w:webHidden/>
          </w:rPr>
          <w:instrText xml:space="preserve"> PAGEREF _Toc12540714 \h </w:instrText>
        </w:r>
        <w:r w:rsidR="0092575B" w:rsidRPr="0092575B">
          <w:rPr>
            <w:noProof/>
            <w:webHidden/>
          </w:rPr>
        </w:r>
        <w:r w:rsidR="0092575B" w:rsidRPr="0092575B">
          <w:rPr>
            <w:noProof/>
            <w:webHidden/>
          </w:rPr>
          <w:fldChar w:fldCharType="separate"/>
        </w:r>
        <w:r w:rsidR="0092575B" w:rsidRPr="0092575B">
          <w:rPr>
            <w:noProof/>
            <w:webHidden/>
          </w:rPr>
          <w:t>8</w:t>
        </w:r>
        <w:r w:rsidR="0092575B" w:rsidRPr="0092575B">
          <w:rPr>
            <w:noProof/>
            <w:webHidden/>
          </w:rPr>
          <w:fldChar w:fldCharType="end"/>
        </w:r>
      </w:hyperlink>
    </w:p>
    <w:p w:rsidR="0092575B" w:rsidRPr="0092575B" w:rsidRDefault="0084743B" w:rsidP="0092575B">
      <w:pPr>
        <w:pStyle w:val="TableofFigures"/>
        <w:tabs>
          <w:tab w:val="right" w:pos="9016"/>
        </w:tabs>
        <w:spacing w:after="140" w:line="300" w:lineRule="atLeast"/>
        <w:rPr>
          <w:rFonts w:asciiTheme="minorHAnsi" w:eastAsiaTheme="minorEastAsia" w:hAnsiTheme="minorHAnsi"/>
          <w:noProof/>
          <w:lang w:eastAsia="en-AU"/>
        </w:rPr>
      </w:pPr>
      <w:hyperlink w:anchor="_Toc12540715" w:history="1">
        <w:r w:rsidR="0092575B" w:rsidRPr="0092575B">
          <w:rPr>
            <w:rStyle w:val="Hyperlink"/>
            <w:noProof/>
          </w:rPr>
          <w:t>Figure 4 Community associated CA-SAB – number and incidence per100 000 population</w:t>
        </w:r>
        <w:r w:rsidR="0092575B" w:rsidRPr="0092575B">
          <w:rPr>
            <w:noProof/>
            <w:webHidden/>
          </w:rPr>
          <w:tab/>
        </w:r>
        <w:r w:rsidR="0092575B" w:rsidRPr="0092575B">
          <w:rPr>
            <w:noProof/>
            <w:webHidden/>
          </w:rPr>
          <w:fldChar w:fldCharType="begin"/>
        </w:r>
        <w:r w:rsidR="0092575B" w:rsidRPr="0092575B">
          <w:rPr>
            <w:noProof/>
            <w:webHidden/>
          </w:rPr>
          <w:instrText xml:space="preserve"> PAGEREF _Toc12540715 \h </w:instrText>
        </w:r>
        <w:r w:rsidR="0092575B" w:rsidRPr="0092575B">
          <w:rPr>
            <w:noProof/>
            <w:webHidden/>
          </w:rPr>
        </w:r>
        <w:r w:rsidR="0092575B" w:rsidRPr="0092575B">
          <w:rPr>
            <w:noProof/>
            <w:webHidden/>
          </w:rPr>
          <w:fldChar w:fldCharType="separate"/>
        </w:r>
        <w:r w:rsidR="0092575B" w:rsidRPr="0092575B">
          <w:rPr>
            <w:noProof/>
            <w:webHidden/>
          </w:rPr>
          <w:t>9</w:t>
        </w:r>
        <w:r w:rsidR="0092575B" w:rsidRPr="0092575B">
          <w:rPr>
            <w:noProof/>
            <w:webHidden/>
          </w:rPr>
          <w:fldChar w:fldCharType="end"/>
        </w:r>
      </w:hyperlink>
    </w:p>
    <w:p w:rsidR="0092575B" w:rsidRPr="0092575B" w:rsidRDefault="0084743B" w:rsidP="0092575B">
      <w:pPr>
        <w:pStyle w:val="TableofFigures"/>
        <w:tabs>
          <w:tab w:val="right" w:pos="9016"/>
        </w:tabs>
        <w:spacing w:after="140" w:line="300" w:lineRule="atLeast"/>
        <w:rPr>
          <w:rFonts w:asciiTheme="minorHAnsi" w:eastAsiaTheme="minorEastAsia" w:hAnsiTheme="minorHAnsi"/>
          <w:noProof/>
          <w:lang w:eastAsia="en-AU"/>
        </w:rPr>
      </w:pPr>
      <w:hyperlink w:anchor="_Toc12540716" w:history="1">
        <w:r w:rsidR="0092575B" w:rsidRPr="0092575B">
          <w:rPr>
            <w:rStyle w:val="Hyperlink"/>
            <w:noProof/>
          </w:rPr>
          <w:t>Figure 5 Total acute public hospital HCA SAB number</w:t>
        </w:r>
        <w:r w:rsidR="0092575B" w:rsidRPr="0092575B">
          <w:rPr>
            <w:noProof/>
            <w:webHidden/>
          </w:rPr>
          <w:tab/>
        </w:r>
        <w:r w:rsidR="0092575B" w:rsidRPr="0092575B">
          <w:rPr>
            <w:noProof/>
            <w:webHidden/>
          </w:rPr>
          <w:fldChar w:fldCharType="begin"/>
        </w:r>
        <w:r w:rsidR="0092575B" w:rsidRPr="0092575B">
          <w:rPr>
            <w:noProof/>
            <w:webHidden/>
          </w:rPr>
          <w:instrText xml:space="preserve"> PAGEREF _Toc12540716 \h </w:instrText>
        </w:r>
        <w:r w:rsidR="0092575B" w:rsidRPr="0092575B">
          <w:rPr>
            <w:noProof/>
            <w:webHidden/>
          </w:rPr>
        </w:r>
        <w:r w:rsidR="0092575B" w:rsidRPr="0092575B">
          <w:rPr>
            <w:noProof/>
            <w:webHidden/>
          </w:rPr>
          <w:fldChar w:fldCharType="separate"/>
        </w:r>
        <w:r w:rsidR="0092575B" w:rsidRPr="0092575B">
          <w:rPr>
            <w:noProof/>
            <w:webHidden/>
          </w:rPr>
          <w:t>10</w:t>
        </w:r>
        <w:r w:rsidR="0092575B" w:rsidRPr="0092575B">
          <w:rPr>
            <w:noProof/>
            <w:webHidden/>
          </w:rPr>
          <w:fldChar w:fldCharType="end"/>
        </w:r>
      </w:hyperlink>
    </w:p>
    <w:p w:rsidR="0092575B" w:rsidRPr="0092575B" w:rsidRDefault="0084743B" w:rsidP="0092575B">
      <w:pPr>
        <w:pStyle w:val="TableofFigures"/>
        <w:tabs>
          <w:tab w:val="right" w:pos="9016"/>
        </w:tabs>
        <w:spacing w:after="140" w:line="300" w:lineRule="atLeast"/>
        <w:rPr>
          <w:rFonts w:asciiTheme="minorHAnsi" w:eastAsiaTheme="minorEastAsia" w:hAnsiTheme="minorHAnsi"/>
          <w:noProof/>
          <w:lang w:eastAsia="en-AU"/>
        </w:rPr>
      </w:pPr>
      <w:hyperlink w:anchor="_Toc12540717" w:history="1">
        <w:r w:rsidR="0092575B" w:rsidRPr="0092575B">
          <w:rPr>
            <w:rStyle w:val="Hyperlink"/>
            <w:noProof/>
          </w:rPr>
          <w:t>Figure 6 Total acute public hospital HCA SAB rate per 10 000 patient days</w:t>
        </w:r>
        <w:r w:rsidR="0092575B" w:rsidRPr="0092575B">
          <w:rPr>
            <w:noProof/>
            <w:webHidden/>
          </w:rPr>
          <w:tab/>
        </w:r>
        <w:r w:rsidR="0092575B" w:rsidRPr="0092575B">
          <w:rPr>
            <w:noProof/>
            <w:webHidden/>
          </w:rPr>
          <w:fldChar w:fldCharType="begin"/>
        </w:r>
        <w:r w:rsidR="0092575B" w:rsidRPr="0092575B">
          <w:rPr>
            <w:noProof/>
            <w:webHidden/>
          </w:rPr>
          <w:instrText xml:space="preserve"> PAGEREF _Toc12540717 \h </w:instrText>
        </w:r>
        <w:r w:rsidR="0092575B" w:rsidRPr="0092575B">
          <w:rPr>
            <w:noProof/>
            <w:webHidden/>
          </w:rPr>
        </w:r>
        <w:r w:rsidR="0092575B" w:rsidRPr="0092575B">
          <w:rPr>
            <w:noProof/>
            <w:webHidden/>
          </w:rPr>
          <w:fldChar w:fldCharType="separate"/>
        </w:r>
        <w:r w:rsidR="0092575B" w:rsidRPr="0092575B">
          <w:rPr>
            <w:noProof/>
            <w:webHidden/>
          </w:rPr>
          <w:t>10</w:t>
        </w:r>
        <w:r w:rsidR="0092575B" w:rsidRPr="0092575B">
          <w:rPr>
            <w:noProof/>
            <w:webHidden/>
          </w:rPr>
          <w:fldChar w:fldCharType="end"/>
        </w:r>
      </w:hyperlink>
    </w:p>
    <w:p w:rsidR="0092575B" w:rsidRPr="0092575B" w:rsidRDefault="0084743B" w:rsidP="0092575B">
      <w:pPr>
        <w:pStyle w:val="TableofFigures"/>
        <w:tabs>
          <w:tab w:val="right" w:pos="9016"/>
        </w:tabs>
        <w:spacing w:after="140" w:line="300" w:lineRule="atLeast"/>
        <w:rPr>
          <w:rFonts w:asciiTheme="minorHAnsi" w:eastAsiaTheme="minorEastAsia" w:hAnsiTheme="minorHAnsi"/>
          <w:noProof/>
          <w:lang w:eastAsia="en-AU"/>
        </w:rPr>
      </w:pPr>
      <w:hyperlink w:anchor="_Toc12540718" w:history="1">
        <w:r w:rsidR="0092575B" w:rsidRPr="0092575B">
          <w:rPr>
            <w:rStyle w:val="Hyperlink"/>
            <w:noProof/>
          </w:rPr>
          <w:t>Figure 7 Individual acute public hospitals HCA SAB rate per 10 000 patient days</w:t>
        </w:r>
        <w:r w:rsidR="0092575B" w:rsidRPr="0092575B">
          <w:rPr>
            <w:noProof/>
            <w:webHidden/>
          </w:rPr>
          <w:tab/>
        </w:r>
        <w:r w:rsidR="0092575B" w:rsidRPr="0092575B">
          <w:rPr>
            <w:noProof/>
            <w:webHidden/>
          </w:rPr>
          <w:fldChar w:fldCharType="begin"/>
        </w:r>
        <w:r w:rsidR="0092575B" w:rsidRPr="0092575B">
          <w:rPr>
            <w:noProof/>
            <w:webHidden/>
          </w:rPr>
          <w:instrText xml:space="preserve"> PAGEREF _Toc12540718 \h </w:instrText>
        </w:r>
        <w:r w:rsidR="0092575B" w:rsidRPr="0092575B">
          <w:rPr>
            <w:noProof/>
            <w:webHidden/>
          </w:rPr>
        </w:r>
        <w:r w:rsidR="0092575B" w:rsidRPr="0092575B">
          <w:rPr>
            <w:noProof/>
            <w:webHidden/>
          </w:rPr>
          <w:fldChar w:fldCharType="separate"/>
        </w:r>
        <w:r w:rsidR="0092575B" w:rsidRPr="0092575B">
          <w:rPr>
            <w:noProof/>
            <w:webHidden/>
          </w:rPr>
          <w:t>11</w:t>
        </w:r>
        <w:r w:rsidR="0092575B" w:rsidRPr="0092575B">
          <w:rPr>
            <w:noProof/>
            <w:webHidden/>
          </w:rPr>
          <w:fldChar w:fldCharType="end"/>
        </w:r>
      </w:hyperlink>
    </w:p>
    <w:p w:rsidR="0092575B" w:rsidRPr="0092575B" w:rsidRDefault="0084743B" w:rsidP="0092575B">
      <w:pPr>
        <w:pStyle w:val="TableofFigures"/>
        <w:tabs>
          <w:tab w:val="right" w:pos="9016"/>
        </w:tabs>
        <w:spacing w:after="140" w:line="300" w:lineRule="atLeast"/>
        <w:rPr>
          <w:rFonts w:asciiTheme="minorHAnsi" w:eastAsiaTheme="minorEastAsia" w:hAnsiTheme="minorHAnsi"/>
          <w:noProof/>
          <w:lang w:eastAsia="en-AU"/>
        </w:rPr>
      </w:pPr>
      <w:hyperlink w:anchor="_Toc12540719" w:history="1">
        <w:r w:rsidR="0092575B" w:rsidRPr="0092575B">
          <w:rPr>
            <w:rStyle w:val="Hyperlink"/>
            <w:noProof/>
          </w:rPr>
          <w:t>Figure 8 HCA SAB - State and Territory combined public hospital rates</w:t>
        </w:r>
        <w:r w:rsidR="0092575B" w:rsidRPr="0092575B">
          <w:rPr>
            <w:noProof/>
            <w:webHidden/>
          </w:rPr>
          <w:tab/>
        </w:r>
        <w:r w:rsidR="0092575B" w:rsidRPr="0092575B">
          <w:rPr>
            <w:noProof/>
            <w:webHidden/>
          </w:rPr>
          <w:fldChar w:fldCharType="begin"/>
        </w:r>
        <w:r w:rsidR="0092575B" w:rsidRPr="0092575B">
          <w:rPr>
            <w:noProof/>
            <w:webHidden/>
          </w:rPr>
          <w:instrText xml:space="preserve"> PAGEREF _Toc12540719 \h </w:instrText>
        </w:r>
        <w:r w:rsidR="0092575B" w:rsidRPr="0092575B">
          <w:rPr>
            <w:noProof/>
            <w:webHidden/>
          </w:rPr>
        </w:r>
        <w:r w:rsidR="0092575B" w:rsidRPr="0092575B">
          <w:rPr>
            <w:noProof/>
            <w:webHidden/>
          </w:rPr>
          <w:fldChar w:fldCharType="separate"/>
        </w:r>
        <w:r w:rsidR="0092575B" w:rsidRPr="0092575B">
          <w:rPr>
            <w:noProof/>
            <w:webHidden/>
          </w:rPr>
          <w:t>12</w:t>
        </w:r>
        <w:r w:rsidR="0092575B" w:rsidRPr="0092575B">
          <w:rPr>
            <w:noProof/>
            <w:webHidden/>
          </w:rPr>
          <w:fldChar w:fldCharType="end"/>
        </w:r>
      </w:hyperlink>
    </w:p>
    <w:p w:rsidR="0092575B" w:rsidRPr="0092575B" w:rsidRDefault="0084743B" w:rsidP="0092575B">
      <w:pPr>
        <w:pStyle w:val="TableofFigures"/>
        <w:tabs>
          <w:tab w:val="right" w:pos="9016"/>
        </w:tabs>
        <w:spacing w:after="140" w:line="300" w:lineRule="atLeast"/>
        <w:rPr>
          <w:rFonts w:asciiTheme="minorHAnsi" w:eastAsiaTheme="minorEastAsia" w:hAnsiTheme="minorHAnsi"/>
          <w:noProof/>
          <w:lang w:eastAsia="en-AU"/>
        </w:rPr>
      </w:pPr>
      <w:hyperlink w:anchor="_Toc12540720" w:history="1">
        <w:r w:rsidR="0092575B" w:rsidRPr="0092575B">
          <w:rPr>
            <w:rStyle w:val="Hyperlink"/>
            <w:noProof/>
          </w:rPr>
          <w:t>Figure 9 Royal Hobart Hospital compared with National peer group (Major Hospitals)</w:t>
        </w:r>
        <w:r w:rsidR="0092575B" w:rsidRPr="0092575B">
          <w:rPr>
            <w:noProof/>
            <w:webHidden/>
          </w:rPr>
          <w:tab/>
        </w:r>
        <w:r w:rsidR="0092575B" w:rsidRPr="0092575B">
          <w:rPr>
            <w:noProof/>
            <w:webHidden/>
          </w:rPr>
          <w:fldChar w:fldCharType="begin"/>
        </w:r>
        <w:r w:rsidR="0092575B" w:rsidRPr="0092575B">
          <w:rPr>
            <w:noProof/>
            <w:webHidden/>
          </w:rPr>
          <w:instrText xml:space="preserve"> PAGEREF _Toc12540720 \h </w:instrText>
        </w:r>
        <w:r w:rsidR="0092575B" w:rsidRPr="0092575B">
          <w:rPr>
            <w:noProof/>
            <w:webHidden/>
          </w:rPr>
        </w:r>
        <w:r w:rsidR="0092575B" w:rsidRPr="0092575B">
          <w:rPr>
            <w:noProof/>
            <w:webHidden/>
          </w:rPr>
          <w:fldChar w:fldCharType="separate"/>
        </w:r>
        <w:r w:rsidR="0092575B" w:rsidRPr="0092575B">
          <w:rPr>
            <w:noProof/>
            <w:webHidden/>
          </w:rPr>
          <w:t>13</w:t>
        </w:r>
        <w:r w:rsidR="0092575B" w:rsidRPr="0092575B">
          <w:rPr>
            <w:noProof/>
            <w:webHidden/>
          </w:rPr>
          <w:fldChar w:fldCharType="end"/>
        </w:r>
      </w:hyperlink>
    </w:p>
    <w:p w:rsidR="0092575B" w:rsidRPr="0092575B" w:rsidRDefault="0084743B" w:rsidP="0092575B">
      <w:pPr>
        <w:pStyle w:val="TableofFigures"/>
        <w:tabs>
          <w:tab w:val="right" w:pos="9016"/>
        </w:tabs>
        <w:spacing w:after="140" w:line="300" w:lineRule="atLeast"/>
        <w:rPr>
          <w:rFonts w:asciiTheme="minorHAnsi" w:eastAsiaTheme="minorEastAsia" w:hAnsiTheme="minorHAnsi"/>
          <w:noProof/>
          <w:lang w:eastAsia="en-AU"/>
        </w:rPr>
      </w:pPr>
      <w:hyperlink w:anchor="_Toc12540721" w:history="1">
        <w:r w:rsidR="0092575B" w:rsidRPr="0092575B">
          <w:rPr>
            <w:rStyle w:val="Hyperlink"/>
            <w:noProof/>
          </w:rPr>
          <w:t>Figure 10 Launceston General Hospital compared with National peer group (Large Hospitals)</w:t>
        </w:r>
        <w:r w:rsidR="0092575B" w:rsidRPr="0092575B">
          <w:rPr>
            <w:noProof/>
            <w:webHidden/>
          </w:rPr>
          <w:tab/>
        </w:r>
        <w:r w:rsidR="0092575B" w:rsidRPr="0092575B">
          <w:rPr>
            <w:noProof/>
            <w:webHidden/>
          </w:rPr>
          <w:fldChar w:fldCharType="begin"/>
        </w:r>
        <w:r w:rsidR="0092575B" w:rsidRPr="0092575B">
          <w:rPr>
            <w:noProof/>
            <w:webHidden/>
          </w:rPr>
          <w:instrText xml:space="preserve"> PAGEREF _Toc12540721 \h </w:instrText>
        </w:r>
        <w:r w:rsidR="0092575B" w:rsidRPr="0092575B">
          <w:rPr>
            <w:noProof/>
            <w:webHidden/>
          </w:rPr>
        </w:r>
        <w:r w:rsidR="0092575B" w:rsidRPr="0092575B">
          <w:rPr>
            <w:noProof/>
            <w:webHidden/>
          </w:rPr>
          <w:fldChar w:fldCharType="separate"/>
        </w:r>
        <w:r w:rsidR="0092575B" w:rsidRPr="0092575B">
          <w:rPr>
            <w:noProof/>
            <w:webHidden/>
          </w:rPr>
          <w:t>13</w:t>
        </w:r>
        <w:r w:rsidR="0092575B" w:rsidRPr="0092575B">
          <w:rPr>
            <w:noProof/>
            <w:webHidden/>
          </w:rPr>
          <w:fldChar w:fldCharType="end"/>
        </w:r>
      </w:hyperlink>
    </w:p>
    <w:p w:rsidR="0092575B" w:rsidRPr="0092575B" w:rsidRDefault="0084743B" w:rsidP="0092575B">
      <w:pPr>
        <w:pStyle w:val="TableofFigures"/>
        <w:tabs>
          <w:tab w:val="right" w:pos="9016"/>
        </w:tabs>
        <w:spacing w:after="140" w:line="300" w:lineRule="atLeast"/>
        <w:rPr>
          <w:rFonts w:asciiTheme="minorHAnsi" w:eastAsiaTheme="minorEastAsia" w:hAnsiTheme="minorHAnsi"/>
          <w:noProof/>
          <w:lang w:eastAsia="en-AU"/>
        </w:rPr>
      </w:pPr>
      <w:hyperlink w:anchor="_Toc12540722" w:history="1">
        <w:r w:rsidR="0092575B" w:rsidRPr="0092575B">
          <w:rPr>
            <w:rStyle w:val="Hyperlink"/>
            <w:noProof/>
          </w:rPr>
          <w:t>Figure 11 Mersey Community Hospital compared with National peer group (Medium Hospitals)</w:t>
        </w:r>
        <w:r w:rsidR="0092575B" w:rsidRPr="0092575B">
          <w:rPr>
            <w:noProof/>
            <w:webHidden/>
          </w:rPr>
          <w:tab/>
        </w:r>
        <w:r w:rsidR="0092575B" w:rsidRPr="0092575B">
          <w:rPr>
            <w:noProof/>
            <w:webHidden/>
          </w:rPr>
          <w:fldChar w:fldCharType="begin"/>
        </w:r>
        <w:r w:rsidR="0092575B" w:rsidRPr="0092575B">
          <w:rPr>
            <w:noProof/>
            <w:webHidden/>
          </w:rPr>
          <w:instrText xml:space="preserve"> PAGEREF _Toc12540722 \h </w:instrText>
        </w:r>
        <w:r w:rsidR="0092575B" w:rsidRPr="0092575B">
          <w:rPr>
            <w:noProof/>
            <w:webHidden/>
          </w:rPr>
        </w:r>
        <w:r w:rsidR="0092575B" w:rsidRPr="0092575B">
          <w:rPr>
            <w:noProof/>
            <w:webHidden/>
          </w:rPr>
          <w:fldChar w:fldCharType="separate"/>
        </w:r>
        <w:r w:rsidR="0092575B" w:rsidRPr="0092575B">
          <w:rPr>
            <w:noProof/>
            <w:webHidden/>
          </w:rPr>
          <w:t>14</w:t>
        </w:r>
        <w:r w:rsidR="0092575B" w:rsidRPr="0092575B">
          <w:rPr>
            <w:noProof/>
            <w:webHidden/>
          </w:rPr>
          <w:fldChar w:fldCharType="end"/>
        </w:r>
      </w:hyperlink>
    </w:p>
    <w:p w:rsidR="0092575B" w:rsidRPr="0092575B" w:rsidRDefault="0084743B" w:rsidP="0092575B">
      <w:pPr>
        <w:pStyle w:val="TableofFigures"/>
        <w:tabs>
          <w:tab w:val="right" w:pos="9016"/>
        </w:tabs>
        <w:spacing w:after="140" w:line="300" w:lineRule="atLeast"/>
        <w:rPr>
          <w:rFonts w:asciiTheme="minorHAnsi" w:eastAsiaTheme="minorEastAsia" w:hAnsiTheme="minorHAnsi"/>
          <w:noProof/>
          <w:lang w:eastAsia="en-AU"/>
        </w:rPr>
      </w:pPr>
      <w:hyperlink w:anchor="_Toc12540723" w:history="1">
        <w:r w:rsidR="0092575B" w:rsidRPr="0092575B">
          <w:rPr>
            <w:rStyle w:val="Hyperlink"/>
            <w:noProof/>
          </w:rPr>
          <w:t>Figure 12 North West Regional Hospital compared with National peer group (Large Hospitals)</w:t>
        </w:r>
        <w:r w:rsidR="0092575B" w:rsidRPr="0092575B">
          <w:rPr>
            <w:noProof/>
            <w:webHidden/>
          </w:rPr>
          <w:tab/>
        </w:r>
        <w:r w:rsidR="0092575B" w:rsidRPr="0092575B">
          <w:rPr>
            <w:noProof/>
            <w:webHidden/>
          </w:rPr>
          <w:fldChar w:fldCharType="begin"/>
        </w:r>
        <w:r w:rsidR="0092575B" w:rsidRPr="0092575B">
          <w:rPr>
            <w:noProof/>
            <w:webHidden/>
          </w:rPr>
          <w:instrText xml:space="preserve"> PAGEREF _Toc12540723 \h </w:instrText>
        </w:r>
        <w:r w:rsidR="0092575B" w:rsidRPr="0092575B">
          <w:rPr>
            <w:noProof/>
            <w:webHidden/>
          </w:rPr>
        </w:r>
        <w:r w:rsidR="0092575B" w:rsidRPr="0092575B">
          <w:rPr>
            <w:noProof/>
            <w:webHidden/>
          </w:rPr>
          <w:fldChar w:fldCharType="separate"/>
        </w:r>
        <w:r w:rsidR="0092575B" w:rsidRPr="0092575B">
          <w:rPr>
            <w:noProof/>
            <w:webHidden/>
          </w:rPr>
          <w:t>14</w:t>
        </w:r>
        <w:r w:rsidR="0092575B" w:rsidRPr="0092575B">
          <w:rPr>
            <w:noProof/>
            <w:webHidden/>
          </w:rPr>
          <w:fldChar w:fldCharType="end"/>
        </w:r>
      </w:hyperlink>
    </w:p>
    <w:p w:rsidR="0092575B" w:rsidRPr="0092575B" w:rsidRDefault="0084743B" w:rsidP="0092575B">
      <w:pPr>
        <w:pStyle w:val="TableofFigures"/>
        <w:tabs>
          <w:tab w:val="right" w:pos="9016"/>
        </w:tabs>
        <w:spacing w:after="140" w:line="300" w:lineRule="atLeast"/>
        <w:rPr>
          <w:rFonts w:asciiTheme="minorHAnsi" w:eastAsiaTheme="minorEastAsia" w:hAnsiTheme="minorHAnsi"/>
          <w:noProof/>
          <w:lang w:eastAsia="en-AU"/>
        </w:rPr>
      </w:pPr>
      <w:hyperlink w:anchor="_Toc12540724" w:history="1">
        <w:r w:rsidR="0092575B" w:rsidRPr="0092575B">
          <w:rPr>
            <w:rStyle w:val="Hyperlink"/>
            <w:noProof/>
          </w:rPr>
          <w:t>Figure 13 Classification of HCA SAB – number and percentage by calendar year</w:t>
        </w:r>
        <w:r w:rsidR="0092575B" w:rsidRPr="0092575B">
          <w:rPr>
            <w:noProof/>
            <w:webHidden/>
          </w:rPr>
          <w:tab/>
        </w:r>
        <w:r w:rsidR="0092575B" w:rsidRPr="0092575B">
          <w:rPr>
            <w:noProof/>
            <w:webHidden/>
          </w:rPr>
          <w:fldChar w:fldCharType="begin"/>
        </w:r>
        <w:r w:rsidR="0092575B" w:rsidRPr="0092575B">
          <w:rPr>
            <w:noProof/>
            <w:webHidden/>
          </w:rPr>
          <w:instrText xml:space="preserve"> PAGEREF _Toc12540724 \h </w:instrText>
        </w:r>
        <w:r w:rsidR="0092575B" w:rsidRPr="0092575B">
          <w:rPr>
            <w:noProof/>
            <w:webHidden/>
          </w:rPr>
        </w:r>
        <w:r w:rsidR="0092575B" w:rsidRPr="0092575B">
          <w:rPr>
            <w:noProof/>
            <w:webHidden/>
          </w:rPr>
          <w:fldChar w:fldCharType="separate"/>
        </w:r>
        <w:r w:rsidR="0092575B" w:rsidRPr="0092575B">
          <w:rPr>
            <w:noProof/>
            <w:webHidden/>
          </w:rPr>
          <w:t>15</w:t>
        </w:r>
        <w:r w:rsidR="0092575B" w:rsidRPr="0092575B">
          <w:rPr>
            <w:noProof/>
            <w:webHidden/>
          </w:rPr>
          <w:fldChar w:fldCharType="end"/>
        </w:r>
      </w:hyperlink>
    </w:p>
    <w:p w:rsidR="00884902" w:rsidRPr="00884902" w:rsidRDefault="00884902" w:rsidP="0092575B">
      <w:pPr>
        <w:pStyle w:val="TableofFigures"/>
        <w:tabs>
          <w:tab w:val="right" w:leader="dot" w:pos="9016"/>
        </w:tabs>
        <w:spacing w:after="140" w:line="300" w:lineRule="atLeast"/>
      </w:pPr>
      <w:r w:rsidRPr="0092575B">
        <w:fldChar w:fldCharType="end"/>
      </w:r>
    </w:p>
    <w:p w:rsidR="00B62635" w:rsidRPr="00CC45E7" w:rsidRDefault="00C46968" w:rsidP="0039594A">
      <w:pPr>
        <w:pStyle w:val="Heading1"/>
      </w:pPr>
      <w:bookmarkStart w:id="34" w:name="_Toc12540753"/>
      <w:r>
        <w:lastRenderedPageBreak/>
        <w:t>Background</w:t>
      </w:r>
      <w:bookmarkEnd w:id="32"/>
      <w:bookmarkEnd w:id="34"/>
      <w:r>
        <w:t xml:space="preserve"> </w:t>
      </w:r>
    </w:p>
    <w:p w:rsidR="002257B3" w:rsidRDefault="002257B3" w:rsidP="007E349D">
      <w:pPr>
        <w:spacing w:afterLines="0"/>
        <w:rPr>
          <w:i/>
        </w:rPr>
      </w:pPr>
      <w:bookmarkStart w:id="35" w:name="_Hlk7765517"/>
      <w:bookmarkEnd w:id="33"/>
      <w:r w:rsidRPr="00CC45E7">
        <w:rPr>
          <w:i/>
        </w:rPr>
        <w:t>Staphylococcus aureus</w:t>
      </w:r>
      <w:r>
        <w:rPr>
          <w:i/>
        </w:rPr>
        <w:t xml:space="preserve"> </w:t>
      </w:r>
      <w:r>
        <w:t xml:space="preserve">is a common pathogen </w:t>
      </w:r>
      <w:r w:rsidR="001D5F15">
        <w:t xml:space="preserve">which </w:t>
      </w:r>
      <w:r>
        <w:t xml:space="preserve">causes a wide range of community and health-care </w:t>
      </w:r>
      <w:r w:rsidR="001D3B15">
        <w:t xml:space="preserve">associated </w:t>
      </w:r>
      <w:r>
        <w:t xml:space="preserve">infections including </w:t>
      </w:r>
      <w:r w:rsidRPr="00CC45E7">
        <w:t>bloodstream infection</w:t>
      </w:r>
      <w:r>
        <w:t>s</w:t>
      </w:r>
      <w:r w:rsidRPr="00CC45E7">
        <w:t xml:space="preserve"> (bacteraemia)</w:t>
      </w:r>
      <w:r>
        <w:t xml:space="preserve">.  </w:t>
      </w:r>
      <w:r w:rsidRPr="006D367F">
        <w:rPr>
          <w:i/>
        </w:rPr>
        <w:t xml:space="preserve">Staphylococcus aureus </w:t>
      </w:r>
      <w:r>
        <w:t xml:space="preserve">bacteraemia (SAB) </w:t>
      </w:r>
      <w:r w:rsidR="001D3B15">
        <w:t xml:space="preserve">is </w:t>
      </w:r>
      <w:r>
        <w:t xml:space="preserve">associated with </w:t>
      </w:r>
      <w:r w:rsidRPr="00CC45E7">
        <w:t>significant morbidity</w:t>
      </w:r>
      <w:r w:rsidR="001D3B15">
        <w:t xml:space="preserve"> </w:t>
      </w:r>
      <w:r w:rsidRPr="00CC45E7">
        <w:t>and</w:t>
      </w:r>
      <w:r>
        <w:t xml:space="preserve"> a 30-day </w:t>
      </w:r>
      <w:r w:rsidRPr="00CC45E7">
        <w:t>mortality</w:t>
      </w:r>
      <w:r>
        <w:t xml:space="preserve"> of 15-30%</w:t>
      </w:r>
      <w:r w:rsidR="001D3B15">
        <w:t xml:space="preserve"> (A</w:t>
      </w:r>
      <w:r w:rsidR="00E01C83">
        <w:t>CSQHC</w:t>
      </w:r>
      <w:r w:rsidR="001D3B15">
        <w:t xml:space="preserve"> 2019).  The o</w:t>
      </w:r>
      <w:r>
        <w:t xml:space="preserve">verall 30-day </w:t>
      </w:r>
      <w:r w:rsidR="001D3B15">
        <w:t>all-cause</w:t>
      </w:r>
      <w:r>
        <w:t xml:space="preserve"> mortality </w:t>
      </w:r>
      <w:r w:rsidR="001D3B15">
        <w:t xml:space="preserve">is </w:t>
      </w:r>
      <w:r>
        <w:t>reported to be 14.8%</w:t>
      </w:r>
      <w:r w:rsidR="001D3B15">
        <w:t xml:space="preserve"> with a </w:t>
      </w:r>
      <w:r>
        <w:t xml:space="preserve">significant difference </w:t>
      </w:r>
      <w:r w:rsidR="001D3B15">
        <w:t xml:space="preserve">in all-cause mortality </w:t>
      </w:r>
      <w:r>
        <w:t>between community (13.7%) and hospital-onset (18.3%) SAB</w:t>
      </w:r>
      <w:r w:rsidR="001D3B15">
        <w:t xml:space="preserve"> (AGAR 2018).</w:t>
      </w:r>
    </w:p>
    <w:bookmarkEnd w:id="35"/>
    <w:p w:rsidR="0001177D" w:rsidRDefault="0001177D" w:rsidP="0001177D">
      <w:pPr>
        <w:tabs>
          <w:tab w:val="left" w:pos="567"/>
        </w:tabs>
        <w:spacing w:afterLines="0"/>
        <w:rPr>
          <w:rFonts w:eastAsia="Times New Roman" w:cs="Times New Roman"/>
        </w:rPr>
      </w:pPr>
      <w:r>
        <w:rPr>
          <w:rFonts w:eastAsia="Times New Roman" w:cs="Times New Roman"/>
        </w:rPr>
        <w:t xml:space="preserve">The Tasmanian Infection and Prevention and Control Unit (TIPCU) coordinates the collection, analysis and reporting of </w:t>
      </w:r>
      <w:r w:rsidRPr="00CC45E7">
        <w:rPr>
          <w:rFonts w:eastAsia="Times New Roman" w:cs="Times New Roman"/>
        </w:rPr>
        <w:t xml:space="preserve">SAB surveillance </w:t>
      </w:r>
      <w:r>
        <w:rPr>
          <w:rFonts w:eastAsia="Times New Roman" w:cs="Times New Roman"/>
        </w:rPr>
        <w:t xml:space="preserve">data </w:t>
      </w:r>
      <w:r w:rsidRPr="00CC45E7">
        <w:rPr>
          <w:rFonts w:eastAsia="Times New Roman" w:cs="Times New Roman"/>
        </w:rPr>
        <w:t>in Tasmania</w:t>
      </w:r>
      <w:r>
        <w:rPr>
          <w:rFonts w:eastAsia="Times New Roman" w:cs="Times New Roman"/>
        </w:rPr>
        <w:t xml:space="preserve"> using the </w:t>
      </w:r>
      <w:r w:rsidRPr="00CC45E7">
        <w:rPr>
          <w:rFonts w:eastAsia="Times New Roman" w:cs="Times New Roman"/>
        </w:rPr>
        <w:t>national surveillance definitions published by the Australian Commission on Safety and Quality in Health Care (ACSQHC</w:t>
      </w:r>
      <w:r>
        <w:rPr>
          <w:rFonts w:eastAsia="Times New Roman" w:cs="Times New Roman"/>
        </w:rPr>
        <w:t>) (2013</w:t>
      </w:r>
      <w:r w:rsidRPr="00CC45E7">
        <w:rPr>
          <w:rFonts w:eastAsia="Times New Roman" w:cs="Times New Roman"/>
        </w:rPr>
        <w:t>)</w:t>
      </w:r>
      <w:r>
        <w:rPr>
          <w:rFonts w:eastAsia="Times New Roman" w:cs="Times New Roman"/>
        </w:rPr>
        <w:t xml:space="preserve"> and the TIPCU ‘</w:t>
      </w:r>
      <w:r w:rsidRPr="00C36C1D">
        <w:rPr>
          <w:rFonts w:eastAsia="Times New Roman" w:cs="Times New Roman"/>
          <w:i/>
        </w:rPr>
        <w:t>SAB surveillance protocol’</w:t>
      </w:r>
      <w:r>
        <w:rPr>
          <w:rFonts w:eastAsia="Times New Roman" w:cs="Times New Roman"/>
        </w:rPr>
        <w:t xml:space="preserve"> (Wilson, Hughson, Wells and Anderson, 2016).</w:t>
      </w:r>
    </w:p>
    <w:p w:rsidR="007E349D" w:rsidRDefault="00290824" w:rsidP="007E349D">
      <w:pPr>
        <w:spacing w:afterLines="0"/>
      </w:pPr>
      <w:r w:rsidRPr="00CC45E7">
        <w:rPr>
          <w:i/>
        </w:rPr>
        <w:t>Staphylococcus aureus</w:t>
      </w:r>
      <w:r>
        <w:rPr>
          <w:i/>
        </w:rPr>
        <w:t xml:space="preserve"> </w:t>
      </w:r>
      <w:r>
        <w:t xml:space="preserve">bacteraemia </w:t>
      </w:r>
      <w:r w:rsidR="007E349D">
        <w:t xml:space="preserve">is a notifiable condition in Tasmania under the </w:t>
      </w:r>
      <w:r w:rsidR="007E349D" w:rsidRPr="00CC45E7">
        <w:rPr>
          <w:rFonts w:eastAsia="Times New Roman" w:cs="Times New Roman"/>
          <w:i/>
        </w:rPr>
        <w:t>Public Health Act 1997</w:t>
      </w:r>
      <w:r w:rsidR="00E11234">
        <w:rPr>
          <w:rFonts w:eastAsia="Times New Roman" w:cs="Times New Roman"/>
        </w:rPr>
        <w:t xml:space="preserve"> </w:t>
      </w:r>
      <w:r w:rsidR="00482184">
        <w:rPr>
          <w:rFonts w:eastAsia="Times New Roman" w:cs="Times New Roman"/>
        </w:rPr>
        <w:t>(</w:t>
      </w:r>
      <w:r w:rsidR="00DF4F3D">
        <w:rPr>
          <w:rFonts w:eastAsia="Times New Roman" w:cs="Times New Roman"/>
        </w:rPr>
        <w:t>Tasmanian Government 2017</w:t>
      </w:r>
      <w:r w:rsidR="00482184">
        <w:rPr>
          <w:rFonts w:eastAsia="Times New Roman" w:cs="Times New Roman"/>
        </w:rPr>
        <w:t xml:space="preserve">) </w:t>
      </w:r>
      <w:r w:rsidR="00E11234">
        <w:rPr>
          <w:rFonts w:eastAsia="Times New Roman" w:cs="Times New Roman"/>
        </w:rPr>
        <w:t xml:space="preserve">so all cases of SAB are </w:t>
      </w:r>
      <w:r w:rsidR="001D5F15">
        <w:rPr>
          <w:rFonts w:eastAsia="Times New Roman" w:cs="Times New Roman"/>
        </w:rPr>
        <w:t xml:space="preserve">required to be </w:t>
      </w:r>
      <w:r w:rsidR="00E11234">
        <w:rPr>
          <w:rFonts w:eastAsia="Times New Roman" w:cs="Times New Roman"/>
        </w:rPr>
        <w:t>notified to Public Health</w:t>
      </w:r>
      <w:r w:rsidR="001D5F15">
        <w:rPr>
          <w:rFonts w:eastAsia="Times New Roman" w:cs="Times New Roman"/>
        </w:rPr>
        <w:t xml:space="preserve"> Services</w:t>
      </w:r>
      <w:r w:rsidR="00E11234">
        <w:t xml:space="preserve">. </w:t>
      </w:r>
      <w:r w:rsidR="00B77EB0">
        <w:t xml:space="preserve"> </w:t>
      </w:r>
      <w:r w:rsidR="0001177D">
        <w:t xml:space="preserve">Public hospital healthcare associated SAB (HCA SAB) are an Australian National Healthcare Agreement performance indicator (Australian Institute of Health and Welfare 2018) and are reported publicly on the </w:t>
      </w:r>
      <w:proofErr w:type="spellStart"/>
      <w:r w:rsidR="0001177D">
        <w:t>MyHospit</w:t>
      </w:r>
      <w:r w:rsidR="00E01C83">
        <w:t>a</w:t>
      </w:r>
      <w:r w:rsidR="0001177D">
        <w:t>ls</w:t>
      </w:r>
      <w:proofErr w:type="spellEnd"/>
      <w:r w:rsidR="0001177D">
        <w:t xml:space="preserve"> website.  In addition, all </w:t>
      </w:r>
      <w:r w:rsidR="001D3B15">
        <w:t xml:space="preserve">SAB identified at the </w:t>
      </w:r>
      <w:r w:rsidR="0001177D">
        <w:t>Royal</w:t>
      </w:r>
      <w:r w:rsidR="001D3B15">
        <w:t xml:space="preserve"> Hobart Hospital </w:t>
      </w:r>
      <w:r w:rsidR="0001177D">
        <w:t xml:space="preserve">(RHH) </w:t>
      </w:r>
      <w:r w:rsidR="001D3B15">
        <w:t xml:space="preserve">and </w:t>
      </w:r>
      <w:r w:rsidR="0001177D">
        <w:t>Launceston</w:t>
      </w:r>
      <w:r w:rsidR="001D3B15">
        <w:t xml:space="preserve"> </w:t>
      </w:r>
      <w:r w:rsidR="0001177D">
        <w:t>General</w:t>
      </w:r>
      <w:r w:rsidR="001D3B15">
        <w:t xml:space="preserve"> Hospital </w:t>
      </w:r>
      <w:r w:rsidR="0001177D">
        <w:t xml:space="preserve">(LGH) </w:t>
      </w:r>
      <w:r w:rsidR="00DD668D">
        <w:t xml:space="preserve">microbiology </w:t>
      </w:r>
      <w:r w:rsidR="0001177D">
        <w:t>laboratories</w:t>
      </w:r>
      <w:r w:rsidR="001D3B15">
        <w:t xml:space="preserve"> are </w:t>
      </w:r>
      <w:r w:rsidR="0001177D">
        <w:t>reported</w:t>
      </w:r>
      <w:r w:rsidR="001D3B15">
        <w:t xml:space="preserve"> to the Australian Group on Antimicrobial Resistance (AGAR). Th</w:t>
      </w:r>
      <w:r w:rsidR="001D5F15">
        <w:t>ese</w:t>
      </w:r>
      <w:r w:rsidR="001D3B15">
        <w:t xml:space="preserve"> data </w:t>
      </w:r>
      <w:r w:rsidR="001D5F15">
        <w:t>are</w:t>
      </w:r>
      <w:r w:rsidR="001D3B15">
        <w:t xml:space="preserve"> published </w:t>
      </w:r>
      <w:r w:rsidR="001D5F15">
        <w:t>by</w:t>
      </w:r>
      <w:r w:rsidR="001D3B15">
        <w:t xml:space="preserve"> the </w:t>
      </w:r>
      <w:r w:rsidR="001D3B15" w:rsidRPr="001D3B15">
        <w:t>Australian Staphylococcal Sepsis Outcome Program</w:t>
      </w:r>
      <w:r w:rsidR="001D3B15">
        <w:t xml:space="preserve"> and the </w:t>
      </w:r>
      <w:r w:rsidR="0001177D">
        <w:t xml:space="preserve">Antimicrobial Use and Resistance in Australia (AURA) Surveillance System reports (AGAR 2018, ACSQHC 2019). </w:t>
      </w:r>
      <w:r w:rsidR="0001177D" w:rsidRPr="00710FDB">
        <w:rPr>
          <w:i/>
        </w:rPr>
        <w:t xml:space="preserve"> </w:t>
      </w:r>
    </w:p>
    <w:p w:rsidR="00290824" w:rsidRDefault="007E349D" w:rsidP="00BA3929">
      <w:pPr>
        <w:spacing w:afterLines="0"/>
      </w:pPr>
      <w:r w:rsidRPr="007E349D">
        <w:rPr>
          <w:rFonts w:cs="Arial"/>
        </w:rPr>
        <w:t xml:space="preserve">This report provides </w:t>
      </w:r>
      <w:r w:rsidR="00E11234">
        <w:rPr>
          <w:rFonts w:cs="Arial"/>
        </w:rPr>
        <w:t xml:space="preserve">cumulative data </w:t>
      </w:r>
      <w:r w:rsidRPr="007E349D">
        <w:rPr>
          <w:rFonts w:cs="Arial"/>
        </w:rPr>
        <w:t xml:space="preserve">of </w:t>
      </w:r>
      <w:r>
        <w:rPr>
          <w:rFonts w:cs="Arial"/>
        </w:rPr>
        <w:t xml:space="preserve">all </w:t>
      </w:r>
      <w:r w:rsidRPr="007E349D">
        <w:rPr>
          <w:i/>
        </w:rPr>
        <w:t>Staphylococcus aureus</w:t>
      </w:r>
      <w:r w:rsidRPr="00FA3C3C">
        <w:t xml:space="preserve"> bacteraemia (SAB)</w:t>
      </w:r>
      <w:r>
        <w:t xml:space="preserve"> </w:t>
      </w:r>
      <w:r w:rsidR="001D5F15">
        <w:t xml:space="preserve">notified </w:t>
      </w:r>
      <w:r>
        <w:t>in Tasmania</w:t>
      </w:r>
      <w:r w:rsidR="00366835">
        <w:t xml:space="preserve"> </w:t>
      </w:r>
      <w:r w:rsidR="001D5F15">
        <w:t>from</w:t>
      </w:r>
      <w:r w:rsidR="00366835">
        <w:t xml:space="preserve"> 2010 to 2018 </w:t>
      </w:r>
      <w:r w:rsidR="00E01C83">
        <w:t>with</w:t>
      </w:r>
      <w:r w:rsidR="00290824">
        <w:t xml:space="preserve"> a focus on </w:t>
      </w:r>
      <w:r w:rsidR="00E11234">
        <w:t xml:space="preserve">public hospital </w:t>
      </w:r>
      <w:r w:rsidR="00290824">
        <w:t>healthcare associated SAB</w:t>
      </w:r>
      <w:r w:rsidR="00271C3E">
        <w:t>;</w:t>
      </w:r>
      <w:r w:rsidR="00366835">
        <w:t xml:space="preserve"> </w:t>
      </w:r>
      <w:r w:rsidR="00290824">
        <w:t>comparisons</w:t>
      </w:r>
      <w:r w:rsidR="00271C3E" w:rsidRPr="00271C3E">
        <w:t xml:space="preserve"> </w:t>
      </w:r>
      <w:r w:rsidR="00271C3E">
        <w:t>where possible with AGAR data; and comparisons of individual Tasmanian public hospital associated SAB with their hospital peer groups</w:t>
      </w:r>
      <w:r w:rsidR="00E01C83">
        <w:t xml:space="preserve">. </w:t>
      </w:r>
    </w:p>
    <w:p w:rsidR="00FB5A6D" w:rsidRDefault="00FB5A6D" w:rsidP="00BA3929">
      <w:pPr>
        <w:spacing w:afterLines="0"/>
      </w:pPr>
      <w:r>
        <w:t xml:space="preserve">Data sourced from the </w:t>
      </w:r>
      <w:proofErr w:type="spellStart"/>
      <w:r>
        <w:t>MyHospitals</w:t>
      </w:r>
      <w:proofErr w:type="spellEnd"/>
      <w:r>
        <w:t xml:space="preserve"> website is reported by financial year as per their on-line reports. All other SAB data in this report is reported by calendar year.</w:t>
      </w:r>
    </w:p>
    <w:p w:rsidR="003D6C3F" w:rsidRPr="00AC022B" w:rsidRDefault="003D6C3F" w:rsidP="0039594A">
      <w:pPr>
        <w:pStyle w:val="Heading1"/>
      </w:pPr>
      <w:bookmarkStart w:id="36" w:name="_Toc11225094"/>
      <w:bookmarkStart w:id="37" w:name="_Toc12540754"/>
      <w:r w:rsidRPr="00DD668D">
        <w:lastRenderedPageBreak/>
        <w:t>Definitions</w:t>
      </w:r>
      <w:bookmarkEnd w:id="36"/>
      <w:bookmarkEnd w:id="37"/>
      <w:r w:rsidRPr="00AC022B">
        <w:t xml:space="preserve"> </w:t>
      </w:r>
    </w:p>
    <w:p w:rsidR="003D6C3F" w:rsidRPr="003D6C3F" w:rsidRDefault="003D6C3F" w:rsidP="007A2C6E">
      <w:pPr>
        <w:spacing w:afterLines="0"/>
        <w:rPr>
          <w:lang w:val="en"/>
        </w:rPr>
      </w:pPr>
      <w:r w:rsidRPr="003D6C3F">
        <w:rPr>
          <w:b/>
          <w:lang w:val="en"/>
        </w:rPr>
        <w:t>Inpatient healthcare facility</w:t>
      </w:r>
      <w:r w:rsidRPr="003D6C3F">
        <w:rPr>
          <w:lang w:val="en"/>
        </w:rPr>
        <w:t xml:space="preserve"> – facility where patients can be admitted for overnight stay and includes acute private or public hospitals, rural hospital, sub-acute facility, long term care facility, nursing home.</w:t>
      </w:r>
    </w:p>
    <w:p w:rsidR="003D6C3F" w:rsidRPr="003D6C3F" w:rsidRDefault="003D6C3F" w:rsidP="007A2C6E">
      <w:pPr>
        <w:spacing w:afterLines="0"/>
        <w:rPr>
          <w:lang w:val="en"/>
        </w:rPr>
      </w:pPr>
      <w:r w:rsidRPr="003D6C3F">
        <w:rPr>
          <w:b/>
          <w:lang w:val="en"/>
        </w:rPr>
        <w:t>Inpatient</w:t>
      </w:r>
      <w:r w:rsidRPr="003D6C3F">
        <w:rPr>
          <w:lang w:val="en"/>
        </w:rPr>
        <w:t xml:space="preserve"> – patient who has a minimum of an overnight stay in a healthcare facility.</w:t>
      </w:r>
    </w:p>
    <w:p w:rsidR="003D6C3F" w:rsidRPr="003D6C3F" w:rsidRDefault="003D6C3F" w:rsidP="007A2C6E">
      <w:pPr>
        <w:spacing w:afterLines="0"/>
        <w:rPr>
          <w:lang w:val="en"/>
        </w:rPr>
      </w:pPr>
      <w:r w:rsidRPr="003D6C3F">
        <w:rPr>
          <w:b/>
          <w:lang w:val="en"/>
        </w:rPr>
        <w:t>Outpatient</w:t>
      </w:r>
      <w:r w:rsidRPr="003D6C3F">
        <w:rPr>
          <w:lang w:val="en"/>
        </w:rPr>
        <w:t xml:space="preserve"> – patient who visits a healthcare facility for a medical, allied health or similar appointment.</w:t>
      </w:r>
    </w:p>
    <w:p w:rsidR="003D6C3F" w:rsidRDefault="003D6C3F" w:rsidP="007A2C6E">
      <w:pPr>
        <w:spacing w:afterLines="0"/>
        <w:rPr>
          <w:rFonts w:eastAsia="Times New Roman" w:cs="Times New Roman"/>
          <w:szCs w:val="24"/>
          <w:lang w:val="en" w:eastAsia="en-AU"/>
        </w:rPr>
      </w:pPr>
      <w:r w:rsidRPr="003D6C3F">
        <w:rPr>
          <w:rFonts w:eastAsia="Times New Roman" w:cs="Times New Roman"/>
          <w:b/>
          <w:szCs w:val="24"/>
          <w:lang w:val="en" w:eastAsia="en-AU"/>
        </w:rPr>
        <w:t>Day case</w:t>
      </w:r>
      <w:r w:rsidRPr="003D6C3F">
        <w:rPr>
          <w:rFonts w:eastAsia="Times New Roman" w:cs="Times New Roman"/>
          <w:szCs w:val="24"/>
          <w:lang w:val="en" w:eastAsia="en-AU"/>
        </w:rPr>
        <w:t xml:space="preserve"> – a patient who attends a healthcare facility for a full or part day for a course of treatment.</w:t>
      </w:r>
    </w:p>
    <w:p w:rsidR="007A2C6E" w:rsidRDefault="007A2C6E" w:rsidP="007A2C6E">
      <w:pPr>
        <w:spacing w:afterLines="0"/>
      </w:pPr>
      <w:r w:rsidRPr="007A2C6E">
        <w:rPr>
          <w:b/>
        </w:rPr>
        <w:t>Patient days</w:t>
      </w:r>
      <w:r>
        <w:t xml:space="preserve"> – the total number of days for all patients who were admitted for an episode of care and who separated during a specific reference period. </w:t>
      </w:r>
    </w:p>
    <w:p w:rsidR="007A2C6E" w:rsidRDefault="007A2C6E" w:rsidP="007A2C6E">
      <w:pPr>
        <w:spacing w:afterLines="0"/>
      </w:pPr>
      <w:r w:rsidRPr="007A2C6E">
        <w:rPr>
          <w:b/>
        </w:rPr>
        <w:t>MSSA</w:t>
      </w:r>
      <w:r>
        <w:t xml:space="preserve"> – methicillin sensitive </w:t>
      </w:r>
      <w:r w:rsidRPr="007A2C6E">
        <w:rPr>
          <w:i/>
        </w:rPr>
        <w:t>Staphylococcus aureus</w:t>
      </w:r>
    </w:p>
    <w:p w:rsidR="007A2C6E" w:rsidRDefault="007A2C6E" w:rsidP="007A2C6E">
      <w:pPr>
        <w:spacing w:afterLines="0"/>
      </w:pPr>
      <w:r w:rsidRPr="007A2C6E">
        <w:rPr>
          <w:b/>
        </w:rPr>
        <w:t>MRSA</w:t>
      </w:r>
      <w:r w:rsidR="001D5F15">
        <w:t xml:space="preserve"> - </w:t>
      </w:r>
      <w:r>
        <w:t xml:space="preserve">methicillin resistant </w:t>
      </w:r>
      <w:r w:rsidRPr="007A2C6E">
        <w:rPr>
          <w:i/>
        </w:rPr>
        <w:t>Staphylococcus aureus</w:t>
      </w:r>
    </w:p>
    <w:p w:rsidR="00594257" w:rsidRDefault="007A1FDE" w:rsidP="007A2C6E">
      <w:pPr>
        <w:spacing w:afterLines="0"/>
      </w:pPr>
      <w:bookmarkStart w:id="38" w:name="_Hlk7777373"/>
      <w:r w:rsidRPr="001A2E12">
        <w:rPr>
          <w:b/>
        </w:rPr>
        <w:t>Hospital peer groups</w:t>
      </w:r>
      <w:r w:rsidRPr="001A2E12">
        <w:t xml:space="preserve"> – categorisation and grouping of Australian public and private hospitals </w:t>
      </w:r>
      <w:r w:rsidR="00590AD9">
        <w:t>into peer groups of facilities with shared characteristics t</w:t>
      </w:r>
      <w:r w:rsidR="00FB5A6D">
        <w:t>hat</w:t>
      </w:r>
      <w:r w:rsidR="00590AD9">
        <w:t xml:space="preserve"> allow</w:t>
      </w:r>
      <w:r w:rsidR="00FB5A6D">
        <w:t>s</w:t>
      </w:r>
      <w:r w:rsidR="00590AD9">
        <w:t xml:space="preserve"> for comparisons between similar hospitals </w:t>
      </w:r>
      <w:r w:rsidR="002C1B21">
        <w:t>(AIHW</w:t>
      </w:r>
      <w:r w:rsidR="005819F6">
        <w:t xml:space="preserve"> 2015</w:t>
      </w:r>
      <w:r w:rsidR="002C1B21">
        <w:t>)</w:t>
      </w:r>
      <w:r w:rsidR="005819F6">
        <w:t xml:space="preserve">. </w:t>
      </w:r>
    </w:p>
    <w:p w:rsidR="00FB5A6D" w:rsidRPr="00D81AD9" w:rsidRDefault="00FB5A6D" w:rsidP="00FB5A6D">
      <w:pPr>
        <w:spacing w:afterLines="0"/>
      </w:pPr>
      <w:r w:rsidRPr="00D81AD9">
        <w:t xml:space="preserve">The peer groups </w:t>
      </w:r>
      <w:r>
        <w:t xml:space="preserve">on </w:t>
      </w:r>
      <w:proofErr w:type="spellStart"/>
      <w:r>
        <w:t>MyHospitals</w:t>
      </w:r>
      <w:proofErr w:type="spellEnd"/>
      <w:r>
        <w:t xml:space="preserve"> </w:t>
      </w:r>
      <w:r w:rsidRPr="00D81AD9">
        <w:t xml:space="preserve">that are relevant to </w:t>
      </w:r>
      <w:r>
        <w:t>this report are</w:t>
      </w:r>
      <w:r w:rsidRPr="00D81AD9">
        <w:t>:</w:t>
      </w:r>
    </w:p>
    <w:p w:rsidR="00FB5A6D" w:rsidRPr="00D81AD9" w:rsidRDefault="00FB5A6D" w:rsidP="00FB5A6D">
      <w:pPr>
        <w:pStyle w:val="ListParagraph"/>
        <w:numPr>
          <w:ilvl w:val="0"/>
          <w:numId w:val="36"/>
        </w:numPr>
        <w:spacing w:afterLines="0"/>
        <w:ind w:left="567" w:hanging="567"/>
        <w:contextualSpacing w:val="0"/>
        <w:rPr>
          <w:rFonts w:eastAsia="Times New Roman" w:cs="Times New Roman"/>
          <w:lang w:eastAsia="en-AU"/>
        </w:rPr>
      </w:pPr>
      <w:r w:rsidRPr="00D81AD9">
        <w:rPr>
          <w:rFonts w:eastAsia="Times New Roman" w:cs="Times New Roman"/>
          <w:lang w:eastAsia="en-AU"/>
        </w:rPr>
        <w:t xml:space="preserve">Major </w:t>
      </w:r>
      <w:r>
        <w:rPr>
          <w:rFonts w:eastAsia="Times New Roman" w:cs="Times New Roman"/>
          <w:lang w:eastAsia="en-AU"/>
        </w:rPr>
        <w:t>H</w:t>
      </w:r>
      <w:r w:rsidRPr="00D81AD9">
        <w:rPr>
          <w:rFonts w:eastAsia="Times New Roman" w:cs="Times New Roman"/>
          <w:lang w:eastAsia="en-AU"/>
        </w:rPr>
        <w:t xml:space="preserve">ospitals </w:t>
      </w:r>
      <w:r>
        <w:rPr>
          <w:rFonts w:eastAsia="Times New Roman" w:cs="Times New Roman"/>
          <w:lang w:eastAsia="en-AU"/>
        </w:rPr>
        <w:t xml:space="preserve">group </w:t>
      </w:r>
      <w:r w:rsidRPr="00D81AD9">
        <w:rPr>
          <w:rFonts w:eastAsia="Times New Roman" w:cs="Times New Roman"/>
          <w:lang w:eastAsia="en-AU"/>
        </w:rPr>
        <w:t xml:space="preserve">- Royal Hobart Hospital (RHH). </w:t>
      </w:r>
    </w:p>
    <w:p w:rsidR="00FB5A6D" w:rsidRPr="00D81AD9" w:rsidRDefault="00FB5A6D" w:rsidP="00FB5A6D">
      <w:pPr>
        <w:pStyle w:val="ListParagraph"/>
        <w:numPr>
          <w:ilvl w:val="0"/>
          <w:numId w:val="36"/>
        </w:numPr>
        <w:spacing w:afterLines="0"/>
        <w:ind w:left="567" w:hanging="567"/>
        <w:contextualSpacing w:val="0"/>
        <w:rPr>
          <w:rFonts w:eastAsia="Times New Roman" w:cs="Times New Roman"/>
          <w:lang w:eastAsia="en-AU"/>
        </w:rPr>
      </w:pPr>
      <w:r w:rsidRPr="00D81AD9">
        <w:rPr>
          <w:rFonts w:eastAsia="Times New Roman" w:cs="Times New Roman"/>
          <w:lang w:eastAsia="en-AU"/>
        </w:rPr>
        <w:t xml:space="preserve">Large </w:t>
      </w:r>
      <w:r>
        <w:rPr>
          <w:rFonts w:eastAsia="Times New Roman" w:cs="Times New Roman"/>
          <w:lang w:eastAsia="en-AU"/>
        </w:rPr>
        <w:t xml:space="preserve">Hospitals group - </w:t>
      </w:r>
      <w:r w:rsidRPr="00D81AD9">
        <w:rPr>
          <w:rFonts w:eastAsia="Times New Roman" w:cs="Times New Roman"/>
          <w:lang w:eastAsia="en-AU"/>
        </w:rPr>
        <w:t xml:space="preserve">Launceston General Hospital (LGH) and North West Regional Hospital (NWRH). </w:t>
      </w:r>
    </w:p>
    <w:p w:rsidR="00FB5A6D" w:rsidRPr="00C21C3F" w:rsidRDefault="00FB5A6D" w:rsidP="00FB5A6D">
      <w:pPr>
        <w:pStyle w:val="ListParagraph"/>
        <w:numPr>
          <w:ilvl w:val="0"/>
          <w:numId w:val="36"/>
        </w:numPr>
        <w:spacing w:afterLines="0"/>
        <w:ind w:left="567" w:hanging="567"/>
        <w:contextualSpacing w:val="0"/>
        <w:rPr>
          <w:rFonts w:eastAsia="Times New Roman" w:cs="Times New Roman"/>
          <w:lang w:eastAsia="en-AU"/>
        </w:rPr>
      </w:pPr>
      <w:r w:rsidRPr="00D81AD9">
        <w:rPr>
          <w:rFonts w:eastAsia="Times New Roman" w:cs="Times New Roman"/>
          <w:lang w:eastAsia="en-AU"/>
        </w:rPr>
        <w:t xml:space="preserve">Medium </w:t>
      </w:r>
      <w:r>
        <w:rPr>
          <w:rFonts w:eastAsia="Times New Roman" w:cs="Times New Roman"/>
          <w:lang w:eastAsia="en-AU"/>
        </w:rPr>
        <w:t>H</w:t>
      </w:r>
      <w:r w:rsidRPr="00D81AD9">
        <w:rPr>
          <w:rFonts w:eastAsia="Times New Roman" w:cs="Times New Roman"/>
          <w:lang w:eastAsia="en-AU"/>
        </w:rPr>
        <w:t xml:space="preserve">ospitals </w:t>
      </w:r>
      <w:r>
        <w:rPr>
          <w:rFonts w:eastAsia="Times New Roman" w:cs="Times New Roman"/>
          <w:lang w:eastAsia="en-AU"/>
        </w:rPr>
        <w:t xml:space="preserve">group </w:t>
      </w:r>
      <w:r w:rsidRPr="00D81AD9">
        <w:rPr>
          <w:rFonts w:eastAsia="Times New Roman" w:cs="Times New Roman"/>
          <w:lang w:eastAsia="en-AU"/>
        </w:rPr>
        <w:t>- Mersey Community Hospital (MCH).</w:t>
      </w:r>
    </w:p>
    <w:p w:rsidR="00594257" w:rsidRDefault="00594257" w:rsidP="00594257">
      <w:pPr>
        <w:spacing w:after="336"/>
      </w:pPr>
      <w:r>
        <w:br w:type="page"/>
      </w:r>
    </w:p>
    <w:p w:rsidR="00C0593F" w:rsidRDefault="00D819A0" w:rsidP="00C0593F">
      <w:pPr>
        <w:spacing w:afterLines="0"/>
      </w:pPr>
      <w:r w:rsidRPr="00D81AD9">
        <w:lastRenderedPageBreak/>
        <w:t xml:space="preserve"> </w:t>
      </w:r>
    </w:p>
    <w:p w:rsidR="00AC022B" w:rsidRPr="00AC022B" w:rsidRDefault="00AC022B" w:rsidP="00AC022B">
      <w:pPr>
        <w:pStyle w:val="Heading2"/>
        <w:spacing w:before="0" w:afterLines="0" w:after="140"/>
        <w:rPr>
          <w:rFonts w:ascii="Gill Sans MT" w:hAnsi="Gill Sans MT"/>
          <w:color w:val="auto"/>
          <w:sz w:val="32"/>
          <w:szCs w:val="32"/>
        </w:rPr>
      </w:pPr>
      <w:bookmarkStart w:id="39" w:name="_Toc11225095"/>
      <w:bookmarkStart w:id="40" w:name="_Toc12540755"/>
      <w:r w:rsidRPr="00AC022B">
        <w:rPr>
          <w:rFonts w:ascii="Gill Sans MT" w:hAnsi="Gill Sans MT"/>
          <w:color w:val="auto"/>
          <w:sz w:val="32"/>
          <w:szCs w:val="32"/>
        </w:rPr>
        <w:t>Surveillance definitions</w:t>
      </w:r>
      <w:bookmarkEnd w:id="39"/>
      <w:bookmarkEnd w:id="40"/>
      <w:r w:rsidRPr="00AC022B">
        <w:rPr>
          <w:rFonts w:ascii="Gill Sans MT" w:hAnsi="Gill Sans MT"/>
          <w:color w:val="auto"/>
          <w:sz w:val="32"/>
          <w:szCs w:val="32"/>
        </w:rPr>
        <w:t xml:space="preserve"> </w:t>
      </w:r>
    </w:p>
    <w:bookmarkEnd w:id="38"/>
    <w:p w:rsidR="001D5F15" w:rsidRDefault="001D5F15" w:rsidP="00AC022B">
      <w:pPr>
        <w:spacing w:afterLines="0"/>
      </w:pPr>
      <w:r>
        <w:t xml:space="preserve">These definitions have been maintained throughout the period of this report. </w:t>
      </w:r>
    </w:p>
    <w:p w:rsidR="003D6C3F" w:rsidRPr="0087581C" w:rsidRDefault="003D6C3F" w:rsidP="00AC022B">
      <w:pPr>
        <w:spacing w:afterLines="0"/>
      </w:pPr>
      <w:r>
        <w:t xml:space="preserve">All SAB </w:t>
      </w:r>
      <w:r w:rsidR="001D5F15">
        <w:t xml:space="preserve">notified </w:t>
      </w:r>
      <w:r>
        <w:t>in Tasmania are classified according to the following surveillance definitions:</w:t>
      </w:r>
    </w:p>
    <w:p w:rsidR="003D6C3F" w:rsidRPr="00AC022B" w:rsidRDefault="003D6C3F" w:rsidP="00AC022B">
      <w:pPr>
        <w:spacing w:afterLines="0"/>
        <w:rPr>
          <w:rFonts w:cs="Arial"/>
          <w:lang w:eastAsia="en-AU"/>
        </w:rPr>
      </w:pPr>
      <w:r>
        <w:rPr>
          <w:b/>
        </w:rPr>
        <w:t>Healthcare associated SAB</w:t>
      </w:r>
      <w:r w:rsidRPr="003D6C3F">
        <w:rPr>
          <w:rFonts w:cs="Arial"/>
          <w:lang w:eastAsia="en-AU"/>
        </w:rPr>
        <w:t xml:space="preserve"> </w:t>
      </w:r>
      <w:r w:rsidRPr="003D6C3F">
        <w:rPr>
          <w:rFonts w:cs="Arial"/>
          <w:b/>
          <w:lang w:eastAsia="en-AU"/>
        </w:rPr>
        <w:t>(HCA – SAB)</w:t>
      </w:r>
      <w:r w:rsidR="00AC022B">
        <w:rPr>
          <w:rFonts w:cs="Arial"/>
          <w:b/>
          <w:lang w:eastAsia="en-AU"/>
        </w:rPr>
        <w:t xml:space="preserve"> – </w:t>
      </w:r>
      <w:r w:rsidR="00AC022B">
        <w:rPr>
          <w:rFonts w:cs="Arial"/>
          <w:lang w:eastAsia="en-AU"/>
        </w:rPr>
        <w:t xml:space="preserve">a SAB that meets either Criterion A or Criterion B of the surveillance definitions </w:t>
      </w:r>
    </w:p>
    <w:p w:rsidR="003D6C3F" w:rsidRDefault="003D6C3F" w:rsidP="003D6C3F">
      <w:pPr>
        <w:spacing w:afterLines="0"/>
        <w:ind w:left="720"/>
      </w:pPr>
      <w:r w:rsidRPr="00CC45E7">
        <w:rPr>
          <w:b/>
        </w:rPr>
        <w:t>Criterion A </w:t>
      </w:r>
      <w:r>
        <w:rPr>
          <w:b/>
        </w:rPr>
        <w:t xml:space="preserve">- </w:t>
      </w:r>
      <w:r w:rsidRPr="00CC45E7">
        <w:t xml:space="preserve">the patient’s first </w:t>
      </w:r>
      <w:r>
        <w:t xml:space="preserve">positive </w:t>
      </w:r>
      <w:r w:rsidRPr="00CC45E7">
        <w:t>SAB blood culture was collected more than 48 hours after hospital admission or </w:t>
      </w:r>
      <w:r>
        <w:t>within</w:t>
      </w:r>
      <w:r w:rsidRPr="00CC45E7">
        <w:t xml:space="preserve"> 48 hours </w:t>
      </w:r>
      <w:r>
        <w:t>of</w:t>
      </w:r>
      <w:r w:rsidRPr="00CC45E7">
        <w:t xml:space="preserve"> discharge.</w:t>
      </w:r>
    </w:p>
    <w:p w:rsidR="003D6C3F" w:rsidRPr="0087581C" w:rsidRDefault="003D6C3F" w:rsidP="003D6C3F">
      <w:pPr>
        <w:spacing w:afterLines="0"/>
        <w:ind w:firstLine="720"/>
        <w:rPr>
          <w:b/>
        </w:rPr>
      </w:pPr>
      <w:r>
        <w:rPr>
          <w:b/>
        </w:rPr>
        <w:t>OR</w:t>
      </w:r>
    </w:p>
    <w:p w:rsidR="003D6C3F" w:rsidRPr="00CC45E7" w:rsidRDefault="003D6C3F" w:rsidP="003D6C3F">
      <w:pPr>
        <w:spacing w:afterLines="0"/>
        <w:ind w:left="720"/>
      </w:pPr>
      <w:r w:rsidRPr="00CC45E7">
        <w:rPr>
          <w:b/>
        </w:rPr>
        <w:t xml:space="preserve">Criterion </w:t>
      </w:r>
      <w:r w:rsidRPr="0087581C">
        <w:rPr>
          <w:b/>
        </w:rPr>
        <w:t xml:space="preserve">B - </w:t>
      </w:r>
      <w:r w:rsidRPr="00CC45E7">
        <w:t>the patient’s first positive SAB blood culture was collected less than or equal to 48</w:t>
      </w:r>
      <w:r>
        <w:t> </w:t>
      </w:r>
      <w:r w:rsidRPr="00CC45E7">
        <w:t>hours after hospital admission and one or more of the following key clinical criteria was met for the patient-episode of SAB.</w:t>
      </w:r>
    </w:p>
    <w:p w:rsidR="003D6C3F" w:rsidRPr="00CC45E7" w:rsidRDefault="003D6C3F" w:rsidP="003D6C3F">
      <w:pPr>
        <w:spacing w:afterLines="0"/>
        <w:ind w:left="720"/>
      </w:pPr>
      <w:r w:rsidRPr="00CC45E7">
        <w:t>Key clinical criteria:</w:t>
      </w:r>
    </w:p>
    <w:p w:rsidR="003D6C3F" w:rsidRPr="00CC45E7" w:rsidRDefault="003D6C3F" w:rsidP="003D6C3F">
      <w:pPr>
        <w:numPr>
          <w:ilvl w:val="0"/>
          <w:numId w:val="14"/>
        </w:numPr>
        <w:tabs>
          <w:tab w:val="clear" w:pos="720"/>
        </w:tabs>
        <w:spacing w:afterLines="0"/>
        <w:ind w:left="1287" w:hanging="567"/>
      </w:pPr>
      <w:r w:rsidRPr="00CC45E7">
        <w:t>SAB is a complication of the presence of an indwelling medical device (eg intravascular line, haemodialysis vascular access, CSF shunt, urinary catheter).</w:t>
      </w:r>
    </w:p>
    <w:p w:rsidR="003D6C3F" w:rsidRPr="00CC45E7" w:rsidRDefault="003D6C3F" w:rsidP="003D6C3F">
      <w:pPr>
        <w:numPr>
          <w:ilvl w:val="0"/>
          <w:numId w:val="14"/>
        </w:numPr>
        <w:tabs>
          <w:tab w:val="clear" w:pos="720"/>
        </w:tabs>
        <w:spacing w:afterLines="0"/>
        <w:ind w:left="1287" w:hanging="567"/>
      </w:pPr>
      <w:r w:rsidRPr="00CC45E7">
        <w:t>SAB occurs within 30 days of a surgical procedure or 365 days for surgically implanted devices, where the SAB is related to the surgical site.</w:t>
      </w:r>
    </w:p>
    <w:p w:rsidR="003D6C3F" w:rsidRPr="00CC45E7" w:rsidRDefault="003D6C3F" w:rsidP="003D6C3F">
      <w:pPr>
        <w:numPr>
          <w:ilvl w:val="0"/>
          <w:numId w:val="14"/>
        </w:numPr>
        <w:tabs>
          <w:tab w:val="clear" w:pos="720"/>
        </w:tabs>
        <w:spacing w:afterLines="0"/>
        <w:ind w:left="1287" w:hanging="567"/>
      </w:pPr>
      <w:r w:rsidRPr="00CC45E7">
        <w:t>SAB was diagnosed within 48 hours of a related invasive instrumentation or incision.</w:t>
      </w:r>
    </w:p>
    <w:p w:rsidR="003D6C3F" w:rsidRPr="003D6C3F" w:rsidRDefault="003D6C3F" w:rsidP="003D6C3F">
      <w:pPr>
        <w:numPr>
          <w:ilvl w:val="0"/>
          <w:numId w:val="14"/>
        </w:numPr>
        <w:tabs>
          <w:tab w:val="clear" w:pos="720"/>
        </w:tabs>
        <w:spacing w:afterLines="0"/>
        <w:ind w:left="1287" w:hanging="567"/>
      </w:pPr>
      <w:r w:rsidRPr="00CC45E7">
        <w:t>SAB is associated with neutropenia (less 1 x 10</w:t>
      </w:r>
      <w:r w:rsidRPr="00CC45E7">
        <w:rPr>
          <w:vertAlign w:val="superscript"/>
        </w:rPr>
        <w:t>9</w:t>
      </w:r>
      <w:r w:rsidRPr="00CC45E7">
        <w:t>/L) contributed to by cytotoxic therapy.</w:t>
      </w:r>
      <w:r w:rsidRPr="003D6C3F">
        <w:rPr>
          <w:rFonts w:cs="Arial"/>
          <w:lang w:eastAsia="en-AU"/>
        </w:rPr>
        <w:t xml:space="preserve"> </w:t>
      </w:r>
    </w:p>
    <w:p w:rsidR="003D6C3F" w:rsidRDefault="003D6C3F" w:rsidP="00AC022B">
      <w:pPr>
        <w:spacing w:afterLines="0"/>
      </w:pPr>
      <w:r w:rsidRPr="0087581C">
        <w:rPr>
          <w:b/>
        </w:rPr>
        <w:t>Community associated</w:t>
      </w:r>
      <w:r>
        <w:rPr>
          <w:b/>
        </w:rPr>
        <w:t xml:space="preserve"> SAB</w:t>
      </w:r>
      <w:r w:rsidR="00AC022B">
        <w:rPr>
          <w:b/>
        </w:rPr>
        <w:t xml:space="preserve"> - </w:t>
      </w:r>
      <w:r>
        <w:t xml:space="preserve">the patients first positive SAB blood culture was collected less than or equal to 48 hours after admission and none of the key clinical criteria were met. </w:t>
      </w:r>
    </w:p>
    <w:p w:rsidR="00AC022B" w:rsidRDefault="003D6C3F" w:rsidP="007A2C6E">
      <w:pPr>
        <w:spacing w:afterLines="0"/>
      </w:pPr>
      <w:r w:rsidRPr="003D6C3F">
        <w:rPr>
          <w:b/>
        </w:rPr>
        <w:t xml:space="preserve">Contaminant – </w:t>
      </w:r>
      <w:r w:rsidRPr="003D6C3F">
        <w:t xml:space="preserve">the clinical picture does not support infection AND either a repeat blood culture is </w:t>
      </w:r>
      <w:r w:rsidR="00F1422A" w:rsidRPr="003D6C3F">
        <w:t>negative,</w:t>
      </w:r>
      <w:r w:rsidRPr="003D6C3F">
        <w:t xml:space="preserve"> AND/OR no </w:t>
      </w:r>
      <w:r w:rsidRPr="003D6C3F">
        <w:rPr>
          <w:i/>
        </w:rPr>
        <w:t xml:space="preserve">S. aureus </w:t>
      </w:r>
      <w:r w:rsidRPr="003D6C3F">
        <w:t>targeted antibiotic treatment is given.</w:t>
      </w:r>
    </w:p>
    <w:p w:rsidR="008E2A27" w:rsidRDefault="008E2A27" w:rsidP="007A2C6E">
      <w:pPr>
        <w:spacing w:afterLines="0"/>
      </w:pPr>
      <w:r w:rsidRPr="008E2A27">
        <w:rPr>
          <w:b/>
        </w:rPr>
        <w:t>Unknown</w:t>
      </w:r>
      <w:r>
        <w:t xml:space="preserve"> – the place of acquisition is not known.</w:t>
      </w:r>
    </w:p>
    <w:p w:rsidR="007A2C6E" w:rsidRDefault="007A2C6E" w:rsidP="007A2C6E">
      <w:pPr>
        <w:spacing w:afterLines="0"/>
      </w:pPr>
      <w:r w:rsidRPr="007A2C6E">
        <w:rPr>
          <w:b/>
        </w:rPr>
        <w:t>Excluded data</w:t>
      </w:r>
      <w:r>
        <w:t xml:space="preserve"> – any </w:t>
      </w:r>
      <w:r w:rsidRPr="007A2C6E">
        <w:rPr>
          <w:i/>
        </w:rPr>
        <w:t>Staphylococcus aureus</w:t>
      </w:r>
      <w:r>
        <w:t xml:space="preserve"> isolated from a blood culture specimen that:</w:t>
      </w:r>
    </w:p>
    <w:p w:rsidR="007A2C6E" w:rsidRDefault="007A2C6E" w:rsidP="007A2C6E">
      <w:pPr>
        <w:pStyle w:val="ListParagraph"/>
        <w:numPr>
          <w:ilvl w:val="0"/>
          <w:numId w:val="39"/>
        </w:numPr>
        <w:spacing w:afterLines="0" w:after="336"/>
        <w:ind w:left="567" w:hanging="567"/>
      </w:pPr>
      <w:r>
        <w:t>Is the second o</w:t>
      </w:r>
      <w:r w:rsidR="00DD668D">
        <w:t>r</w:t>
      </w:r>
      <w:r>
        <w:t xml:space="preserve"> more</w:t>
      </w:r>
      <w:r w:rsidRPr="007A2C6E">
        <w:rPr>
          <w:i/>
        </w:rPr>
        <w:t xml:space="preserve"> Staphylococcus aureus</w:t>
      </w:r>
      <w:r>
        <w:t xml:space="preserve"> isolate from blood culture specimen/s for the same individual within 14 days; or</w:t>
      </w:r>
    </w:p>
    <w:p w:rsidR="007A2C6E" w:rsidRDefault="007A2C6E" w:rsidP="007A2C6E">
      <w:pPr>
        <w:pStyle w:val="ListParagraph"/>
        <w:numPr>
          <w:ilvl w:val="0"/>
          <w:numId w:val="39"/>
        </w:numPr>
        <w:spacing w:afterLines="0" w:after="336"/>
        <w:ind w:left="567" w:hanging="567"/>
      </w:pPr>
      <w:r>
        <w:t>Is a contaminant; or</w:t>
      </w:r>
    </w:p>
    <w:p w:rsidR="007A2C6E" w:rsidRDefault="007A2C6E" w:rsidP="007A2C6E">
      <w:pPr>
        <w:pStyle w:val="ListParagraph"/>
        <w:numPr>
          <w:ilvl w:val="0"/>
          <w:numId w:val="39"/>
        </w:numPr>
        <w:spacing w:afterLines="0" w:after="336"/>
        <w:ind w:left="567" w:hanging="567"/>
      </w:pPr>
      <w:r>
        <w:t>Was identified from a blood culture taken post mortem.</w:t>
      </w:r>
    </w:p>
    <w:p w:rsidR="002610EE" w:rsidRPr="001D5F15" w:rsidRDefault="00AC022B" w:rsidP="001D5F15">
      <w:pPr>
        <w:pStyle w:val="Heading2"/>
        <w:spacing w:before="0" w:afterLines="0" w:after="140"/>
        <w:rPr>
          <w:rFonts w:ascii="Gill Sans MT" w:hAnsi="Gill Sans MT"/>
          <w:color w:val="auto"/>
          <w:sz w:val="32"/>
          <w:szCs w:val="32"/>
        </w:rPr>
      </w:pPr>
      <w:bookmarkStart w:id="41" w:name="_Toc11225096"/>
      <w:bookmarkStart w:id="42" w:name="_Toc12540756"/>
      <w:r>
        <w:rPr>
          <w:rFonts w:ascii="Gill Sans MT" w:hAnsi="Gill Sans MT"/>
          <w:color w:val="auto"/>
          <w:sz w:val="32"/>
          <w:szCs w:val="32"/>
        </w:rPr>
        <w:t>Rate calculations</w:t>
      </w:r>
      <w:bookmarkEnd w:id="41"/>
      <w:bookmarkEnd w:id="42"/>
    </w:p>
    <w:p w:rsidR="002610EE" w:rsidRDefault="002610EE" w:rsidP="0006067C">
      <w:pPr>
        <w:spacing w:afterLines="0"/>
        <w:rPr>
          <w:rFonts w:eastAsiaTheme="minorEastAsia"/>
          <w:sz w:val="24"/>
          <w:szCs w:val="24"/>
        </w:rPr>
      </w:pPr>
      <w:bookmarkStart w:id="43" w:name="_Hlk7778212"/>
      <m:oMath>
        <m:r>
          <w:rPr>
            <w:rFonts w:ascii="Cambria Math" w:hAnsi="Cambria Math"/>
            <w:sz w:val="28"/>
            <w:szCs w:val="28"/>
          </w:rPr>
          <m:t>HCA SAB rate=</m:t>
        </m:r>
        <m:f>
          <m:fPr>
            <m:ctrlPr>
              <w:rPr>
                <w:rFonts w:ascii="Cambria Math" w:hAnsi="Cambria Math"/>
                <w:i/>
                <w:sz w:val="28"/>
                <w:szCs w:val="28"/>
              </w:rPr>
            </m:ctrlPr>
          </m:fPr>
          <m:num>
            <m:r>
              <w:rPr>
                <w:rFonts w:ascii="Cambria Math" w:hAnsi="Cambria Math"/>
                <w:sz w:val="28"/>
                <w:szCs w:val="28"/>
              </w:rPr>
              <m:t>number of HCA SAB</m:t>
            </m:r>
          </m:num>
          <m:den>
            <m:r>
              <w:rPr>
                <w:rFonts w:ascii="Cambria Math" w:hAnsi="Cambria Math"/>
                <w:sz w:val="28"/>
                <w:szCs w:val="28"/>
              </w:rPr>
              <m:t>number of patient days</m:t>
            </m:r>
          </m:den>
        </m:f>
      </m:oMath>
      <w:r w:rsidR="0006067C" w:rsidRPr="00D461CA">
        <w:rPr>
          <w:rFonts w:eastAsiaTheme="minorEastAsia"/>
          <w:sz w:val="28"/>
          <w:szCs w:val="28"/>
        </w:rPr>
        <w:t xml:space="preserve">  </w:t>
      </w:r>
      <w:r w:rsidR="0006067C" w:rsidRPr="00D461CA">
        <w:rPr>
          <w:rFonts w:eastAsiaTheme="minorEastAsia"/>
          <w:sz w:val="24"/>
          <w:szCs w:val="24"/>
        </w:rPr>
        <w:t>X 10 000</w:t>
      </w:r>
    </w:p>
    <w:p w:rsidR="00C0593F" w:rsidRPr="00D461CA" w:rsidRDefault="00C0593F" w:rsidP="0006067C">
      <w:pPr>
        <w:spacing w:afterLines="0"/>
        <w:rPr>
          <w:rFonts w:eastAsiaTheme="minorEastAsia"/>
          <w:sz w:val="28"/>
          <w:szCs w:val="28"/>
        </w:rPr>
      </w:pPr>
    </w:p>
    <w:p w:rsidR="0006067C" w:rsidRPr="00A30084" w:rsidRDefault="0006067C" w:rsidP="00A30084">
      <w:pPr>
        <w:spacing w:afterLines="0"/>
        <w:rPr>
          <w:rFonts w:eastAsiaTheme="minorEastAsia"/>
          <w:sz w:val="24"/>
          <w:szCs w:val="24"/>
        </w:rPr>
      </w:pPr>
      <w:bookmarkStart w:id="44" w:name="_Toc413158588"/>
      <w:bookmarkEnd w:id="43"/>
      <m:oMath>
        <m:r>
          <w:rPr>
            <w:rFonts w:ascii="Cambria Math" w:hAnsi="Cambria Math"/>
            <w:sz w:val="28"/>
            <w:szCs w:val="28"/>
          </w:rPr>
          <m:t>Community associated SAB rate=</m:t>
        </m:r>
        <m:f>
          <m:fPr>
            <m:ctrlPr>
              <w:rPr>
                <w:rFonts w:ascii="Cambria Math" w:hAnsi="Cambria Math"/>
                <w:i/>
                <w:sz w:val="28"/>
                <w:szCs w:val="28"/>
              </w:rPr>
            </m:ctrlPr>
          </m:fPr>
          <m:num>
            <m:r>
              <w:rPr>
                <w:rFonts w:ascii="Cambria Math" w:hAnsi="Cambria Math"/>
                <w:sz w:val="28"/>
                <w:szCs w:val="28"/>
              </w:rPr>
              <m:t>number of CA SAB</m:t>
            </m:r>
          </m:num>
          <m:den>
            <m:r>
              <w:rPr>
                <w:rFonts w:ascii="Cambria Math" w:hAnsi="Cambria Math"/>
                <w:sz w:val="28"/>
                <w:szCs w:val="28"/>
              </w:rPr>
              <m:t>Tasmanian population</m:t>
            </m:r>
          </m:den>
        </m:f>
      </m:oMath>
      <w:r w:rsidRPr="00D461CA">
        <w:rPr>
          <w:rFonts w:eastAsiaTheme="minorEastAsia"/>
          <w:sz w:val="32"/>
          <w:szCs w:val="32"/>
        </w:rPr>
        <w:t xml:space="preserve">  </w:t>
      </w:r>
      <w:r w:rsidRPr="00D461CA">
        <w:rPr>
          <w:rFonts w:eastAsiaTheme="minorEastAsia"/>
          <w:sz w:val="24"/>
          <w:szCs w:val="24"/>
        </w:rPr>
        <w:t>X 100 000</w:t>
      </w:r>
      <w:r w:rsidRPr="00D461CA">
        <w:rPr>
          <w:rFonts w:eastAsiaTheme="minorEastAsia"/>
          <w:sz w:val="32"/>
          <w:szCs w:val="32"/>
        </w:rPr>
        <w:t xml:space="preserve"> </w:t>
      </w:r>
    </w:p>
    <w:p w:rsidR="00A30084" w:rsidRPr="00A30084" w:rsidRDefault="00E02495" w:rsidP="0039594A">
      <w:pPr>
        <w:pStyle w:val="Heading1"/>
        <w:rPr>
          <w:rStyle w:val="Heading1Char"/>
          <w:b/>
          <w:i/>
          <w:color w:val="365F91"/>
        </w:rPr>
      </w:pPr>
      <w:bookmarkStart w:id="45" w:name="_Toc11225097"/>
      <w:bookmarkStart w:id="46" w:name="_Toc12540757"/>
      <w:r w:rsidRPr="00A30084">
        <w:rPr>
          <w:rStyle w:val="Heading1Char"/>
          <w:b/>
          <w:i/>
        </w:rPr>
        <w:lastRenderedPageBreak/>
        <w:t>Staphylococcus aureus</w:t>
      </w:r>
      <w:r w:rsidRPr="00A30084">
        <w:rPr>
          <w:rStyle w:val="Heading1Char"/>
          <w:b/>
        </w:rPr>
        <w:t xml:space="preserve"> bacteraemia in Tasmania</w:t>
      </w:r>
      <w:bookmarkStart w:id="47" w:name="_Hlk8115456"/>
      <w:bookmarkEnd w:id="44"/>
      <w:bookmarkEnd w:id="45"/>
      <w:bookmarkEnd w:id="46"/>
    </w:p>
    <w:p w:rsidR="00B62635" w:rsidRPr="00A30084" w:rsidRDefault="00EF669B" w:rsidP="00A30084">
      <w:pPr>
        <w:spacing w:after="336"/>
        <w:rPr>
          <w:rFonts w:eastAsiaTheme="majorEastAsia" w:cstheme="majorBidi"/>
          <w:b/>
          <w:bCs/>
          <w:i/>
          <w:color w:val="365F91"/>
          <w:sz w:val="40"/>
          <w:szCs w:val="40"/>
          <w:lang w:val="en" w:eastAsia="en-AU"/>
        </w:rPr>
      </w:pPr>
      <w:r w:rsidRPr="00EF669B">
        <w:fldChar w:fldCharType="begin"/>
      </w:r>
      <w:r w:rsidRPr="00EF669B">
        <w:instrText xml:space="preserve"> REF _Ref435167483 \h  \* MERGEFORMAT </w:instrText>
      </w:r>
      <w:r w:rsidRPr="00EF669B">
        <w:fldChar w:fldCharType="separate"/>
      </w:r>
      <w:r w:rsidR="00EA0ED7" w:rsidRPr="00EA0ED7">
        <w:rPr>
          <w:rFonts w:eastAsia="Times New Roman" w:cs="Times New Roman"/>
          <w:bCs/>
        </w:rPr>
        <w:t xml:space="preserve">Figure </w:t>
      </w:r>
      <w:r w:rsidR="00EA0ED7" w:rsidRPr="00EA0ED7">
        <w:rPr>
          <w:rFonts w:eastAsia="Times New Roman" w:cs="Times New Roman"/>
          <w:bCs/>
          <w:noProof/>
        </w:rPr>
        <w:t>1</w:t>
      </w:r>
      <w:r w:rsidRPr="00EF669B">
        <w:fldChar w:fldCharType="end"/>
      </w:r>
      <w:r w:rsidR="00EF3DFB">
        <w:t xml:space="preserve"> </w:t>
      </w:r>
      <w:r w:rsidR="003F5DC5" w:rsidRPr="00CC45E7">
        <w:t>present</w:t>
      </w:r>
      <w:r w:rsidR="00DA5E44">
        <w:t>s</w:t>
      </w:r>
      <w:r w:rsidR="00B62635" w:rsidRPr="00CC45E7">
        <w:t xml:space="preserve"> the </w:t>
      </w:r>
      <w:r w:rsidR="00146FB5">
        <w:t xml:space="preserve">total number and </w:t>
      </w:r>
      <w:r w:rsidR="001B6FD8">
        <w:t xml:space="preserve">incidence </w:t>
      </w:r>
      <w:r w:rsidR="00E02495">
        <w:t xml:space="preserve">of </w:t>
      </w:r>
      <w:r w:rsidR="001D5F15">
        <w:t xml:space="preserve">all </w:t>
      </w:r>
      <w:r w:rsidR="00146FB5">
        <w:t xml:space="preserve">reported </w:t>
      </w:r>
      <w:r w:rsidR="00E02495">
        <w:t xml:space="preserve">SAB in Tasmania per </w:t>
      </w:r>
      <w:r w:rsidR="001D5F15">
        <w:t>year</w:t>
      </w:r>
      <w:r w:rsidR="00E02495">
        <w:t xml:space="preserve"> between 20</w:t>
      </w:r>
      <w:r w:rsidR="00662081">
        <w:t>10</w:t>
      </w:r>
      <w:r w:rsidR="00E02495">
        <w:t xml:space="preserve"> and 2018</w:t>
      </w:r>
      <w:r w:rsidR="007273A7">
        <w:t xml:space="preserve"> and Figure 2 presents the classification of SAB into community or healthcare associated</w:t>
      </w:r>
      <w:r w:rsidR="00E01C83">
        <w:t xml:space="preserve"> events</w:t>
      </w:r>
      <w:r w:rsidR="001E2FF0">
        <w:t>.</w:t>
      </w:r>
    </w:p>
    <w:p w:rsidR="00B62635" w:rsidRDefault="00B62635" w:rsidP="00CC45E7">
      <w:pPr>
        <w:tabs>
          <w:tab w:val="left" w:pos="567"/>
        </w:tabs>
        <w:spacing w:afterLines="0"/>
        <w:rPr>
          <w:rFonts w:eastAsia="Times New Roman" w:cs="Times New Roman"/>
        </w:rPr>
      </w:pPr>
      <w:bookmarkStart w:id="48" w:name="_Ref435167483"/>
      <w:bookmarkStart w:id="49" w:name="_Toc11392026"/>
      <w:bookmarkStart w:id="50" w:name="_Toc11392380"/>
      <w:bookmarkStart w:id="51" w:name="_Toc12540712"/>
      <w:bookmarkStart w:id="52" w:name="_Hlk7786625"/>
      <w:bookmarkEnd w:id="47"/>
      <w:r w:rsidRPr="00CC45E7">
        <w:rPr>
          <w:rFonts w:eastAsia="Times New Roman" w:cs="Times New Roman"/>
          <w:b/>
          <w:bCs/>
        </w:rPr>
        <w:t xml:space="preserve">Figure </w:t>
      </w:r>
      <w:r w:rsidRPr="00CC45E7">
        <w:rPr>
          <w:rFonts w:eastAsia="Times New Roman" w:cs="Times New Roman"/>
          <w:b/>
          <w:bCs/>
        </w:rPr>
        <w:fldChar w:fldCharType="begin"/>
      </w:r>
      <w:r w:rsidRPr="00CC45E7">
        <w:rPr>
          <w:rFonts w:eastAsia="Times New Roman" w:cs="Times New Roman"/>
          <w:b/>
          <w:bCs/>
        </w:rPr>
        <w:instrText xml:space="preserve"> SEQ Figure \* ARABIC </w:instrText>
      </w:r>
      <w:r w:rsidRPr="00CC45E7">
        <w:rPr>
          <w:rFonts w:eastAsia="Times New Roman" w:cs="Times New Roman"/>
          <w:b/>
          <w:bCs/>
        </w:rPr>
        <w:fldChar w:fldCharType="separate"/>
      </w:r>
      <w:r w:rsidR="00EA0ED7">
        <w:rPr>
          <w:rFonts w:eastAsia="Times New Roman" w:cs="Times New Roman"/>
          <w:b/>
          <w:bCs/>
          <w:noProof/>
        </w:rPr>
        <w:t>1</w:t>
      </w:r>
      <w:r w:rsidRPr="00CC45E7">
        <w:rPr>
          <w:rFonts w:eastAsia="Times New Roman" w:cs="Times New Roman"/>
          <w:b/>
          <w:bCs/>
        </w:rPr>
        <w:fldChar w:fldCharType="end"/>
      </w:r>
      <w:bookmarkEnd w:id="48"/>
      <w:r w:rsidRPr="00CC45E7">
        <w:rPr>
          <w:rFonts w:eastAsia="Times New Roman" w:cs="Times New Roman"/>
          <w:b/>
          <w:bCs/>
        </w:rPr>
        <w:t xml:space="preserve"> </w:t>
      </w:r>
      <w:r w:rsidR="00146FB5" w:rsidRPr="00146FB5">
        <w:t>SAB</w:t>
      </w:r>
      <w:r w:rsidR="00146FB5">
        <w:rPr>
          <w:i/>
        </w:rPr>
        <w:t xml:space="preserve"> </w:t>
      </w:r>
      <w:r w:rsidR="00A21ECD" w:rsidRPr="00CC45E7">
        <w:rPr>
          <w:rFonts w:eastAsia="Times New Roman" w:cs="Times New Roman"/>
        </w:rPr>
        <w:t>-</w:t>
      </w:r>
      <w:r w:rsidR="00903F1E" w:rsidRPr="00CC45E7">
        <w:rPr>
          <w:rFonts w:eastAsia="Times New Roman" w:cs="Times New Roman"/>
        </w:rPr>
        <w:t xml:space="preserve"> Tasmanian </w:t>
      </w:r>
      <w:r w:rsidR="00E02495">
        <w:rPr>
          <w:rFonts w:eastAsia="Times New Roman" w:cs="Times New Roman"/>
        </w:rPr>
        <w:t>number</w:t>
      </w:r>
      <w:r w:rsidR="003875F5">
        <w:rPr>
          <w:rFonts w:eastAsia="Times New Roman" w:cs="Times New Roman"/>
        </w:rPr>
        <w:t xml:space="preserve"> a</w:t>
      </w:r>
      <w:r w:rsidR="00146FB5">
        <w:rPr>
          <w:rFonts w:eastAsia="Times New Roman" w:cs="Times New Roman"/>
        </w:rPr>
        <w:t>n</w:t>
      </w:r>
      <w:r w:rsidR="003875F5">
        <w:rPr>
          <w:rFonts w:eastAsia="Times New Roman" w:cs="Times New Roman"/>
        </w:rPr>
        <w:t xml:space="preserve">d </w:t>
      </w:r>
      <w:r w:rsidR="00146FB5">
        <w:rPr>
          <w:rFonts w:eastAsia="Times New Roman" w:cs="Times New Roman"/>
        </w:rPr>
        <w:t>incidence</w:t>
      </w:r>
      <w:r w:rsidR="00E02495">
        <w:rPr>
          <w:rFonts w:eastAsia="Times New Roman" w:cs="Times New Roman"/>
        </w:rPr>
        <w:t xml:space="preserve"> per </w:t>
      </w:r>
      <w:bookmarkEnd w:id="49"/>
      <w:bookmarkEnd w:id="50"/>
      <w:r w:rsidR="001D5F15">
        <w:rPr>
          <w:rFonts w:eastAsia="Times New Roman" w:cs="Times New Roman"/>
        </w:rPr>
        <w:t>year</w:t>
      </w:r>
      <w:bookmarkEnd w:id="51"/>
    </w:p>
    <w:p w:rsidR="005D2748" w:rsidRPr="00146FB5" w:rsidRDefault="00636E72" w:rsidP="00AF3ADA">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5F85A1EC">
            <wp:extent cx="5821680" cy="2834640"/>
            <wp:effectExtent l="0" t="0" r="7620" b="3810"/>
            <wp:docPr id="18" name="Picture 18" descr="Figure 1 Total Staphylococcus aureus bacteraemia in Tasmania showing number and incidence per year. &#10;Text description provided below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1680" cy="2834640"/>
                    </a:xfrm>
                    <a:prstGeom prst="rect">
                      <a:avLst/>
                    </a:prstGeom>
                    <a:noFill/>
                  </pic:spPr>
                </pic:pic>
              </a:graphicData>
            </a:graphic>
          </wp:inline>
        </w:drawing>
      </w:r>
      <w:bookmarkEnd w:id="52"/>
    </w:p>
    <w:p w:rsidR="005D2748" w:rsidRDefault="005D2748" w:rsidP="005D2748">
      <w:pPr>
        <w:pStyle w:val="Caption"/>
        <w:rPr>
          <w:sz w:val="22"/>
          <w:szCs w:val="22"/>
        </w:rPr>
      </w:pPr>
      <w:bookmarkStart w:id="53" w:name="_Toc11392027"/>
      <w:bookmarkStart w:id="54" w:name="_Toc11392381"/>
      <w:bookmarkStart w:id="55" w:name="_Toc12540713"/>
      <w:r w:rsidRPr="005D2748">
        <w:rPr>
          <w:sz w:val="22"/>
          <w:szCs w:val="22"/>
        </w:rPr>
        <w:t xml:space="preserve">Figure </w:t>
      </w:r>
      <w:r w:rsidRPr="005D2748">
        <w:rPr>
          <w:sz w:val="22"/>
          <w:szCs w:val="22"/>
        </w:rPr>
        <w:fldChar w:fldCharType="begin"/>
      </w:r>
      <w:r w:rsidRPr="005D2748">
        <w:rPr>
          <w:sz w:val="22"/>
          <w:szCs w:val="22"/>
        </w:rPr>
        <w:instrText xml:space="preserve"> SEQ Figure \* ARABIC </w:instrText>
      </w:r>
      <w:r w:rsidRPr="005D2748">
        <w:rPr>
          <w:sz w:val="22"/>
          <w:szCs w:val="22"/>
        </w:rPr>
        <w:fldChar w:fldCharType="separate"/>
      </w:r>
      <w:r w:rsidR="00EA0ED7">
        <w:rPr>
          <w:noProof/>
          <w:sz w:val="22"/>
          <w:szCs w:val="22"/>
        </w:rPr>
        <w:t>2</w:t>
      </w:r>
      <w:r w:rsidRPr="005D2748">
        <w:rPr>
          <w:sz w:val="22"/>
          <w:szCs w:val="22"/>
        </w:rPr>
        <w:fldChar w:fldCharType="end"/>
      </w:r>
      <w:r w:rsidRPr="005D2748">
        <w:rPr>
          <w:sz w:val="22"/>
          <w:szCs w:val="22"/>
        </w:rPr>
        <w:t xml:space="preserve"> </w:t>
      </w:r>
      <w:r w:rsidR="00146FB5">
        <w:rPr>
          <w:b w:val="0"/>
          <w:sz w:val="22"/>
          <w:szCs w:val="22"/>
        </w:rPr>
        <w:t xml:space="preserve">SAB </w:t>
      </w:r>
      <w:r w:rsidRPr="005D2748">
        <w:rPr>
          <w:b w:val="0"/>
          <w:sz w:val="22"/>
          <w:szCs w:val="22"/>
        </w:rPr>
        <w:t xml:space="preserve">classification - Tasmanian number per </w:t>
      </w:r>
      <w:bookmarkEnd w:id="53"/>
      <w:bookmarkEnd w:id="54"/>
      <w:r w:rsidR="00146FB5">
        <w:rPr>
          <w:b w:val="0"/>
          <w:sz w:val="22"/>
          <w:szCs w:val="22"/>
        </w:rPr>
        <w:t>year</w:t>
      </w:r>
      <w:bookmarkEnd w:id="55"/>
      <w:r w:rsidRPr="005D2748">
        <w:rPr>
          <w:sz w:val="22"/>
          <w:szCs w:val="22"/>
        </w:rPr>
        <w:t xml:space="preserve"> </w:t>
      </w:r>
    </w:p>
    <w:p w:rsidR="005D2748" w:rsidRDefault="00256E5E" w:rsidP="00256E5E">
      <w:pPr>
        <w:spacing w:after="336"/>
      </w:pPr>
      <w:r>
        <w:rPr>
          <w:noProof/>
          <w:lang w:eastAsia="en-AU"/>
        </w:rPr>
        <w:drawing>
          <wp:inline distT="0" distB="0" distL="0" distR="0" wp14:anchorId="1A51060E">
            <wp:extent cx="5798820" cy="2857500"/>
            <wp:effectExtent l="0" t="0" r="0" b="0"/>
            <wp:docPr id="4" name="Picture 4" descr="Figure 2 Staphylococcus aureus bacteraemia classification - Tasmanian number per annum &#10;Text description provided below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8820" cy="2857500"/>
                    </a:xfrm>
                    <a:prstGeom prst="rect">
                      <a:avLst/>
                    </a:prstGeom>
                    <a:noFill/>
                  </pic:spPr>
                </pic:pic>
              </a:graphicData>
            </a:graphic>
          </wp:inline>
        </w:drawing>
      </w:r>
    </w:p>
    <w:p w:rsidR="005D2748" w:rsidRDefault="00E02495" w:rsidP="00AF3ADA">
      <w:pPr>
        <w:tabs>
          <w:tab w:val="left" w:pos="567"/>
        </w:tabs>
        <w:spacing w:afterLines="0"/>
      </w:pPr>
      <w:r>
        <w:t xml:space="preserve">The total </w:t>
      </w:r>
      <w:r w:rsidR="00431181">
        <w:t xml:space="preserve">annual </w:t>
      </w:r>
      <w:r>
        <w:t xml:space="preserve">number </w:t>
      </w:r>
      <w:r w:rsidR="00146FB5">
        <w:t xml:space="preserve">and incidence </w:t>
      </w:r>
      <w:r>
        <w:t xml:space="preserve">of SAB </w:t>
      </w:r>
      <w:r w:rsidR="00146FB5">
        <w:t>reported</w:t>
      </w:r>
      <w:r>
        <w:t xml:space="preserve"> in Tasmania ha</w:t>
      </w:r>
      <w:r w:rsidR="00A30084">
        <w:t>s</w:t>
      </w:r>
      <w:r w:rsidR="00B86D77">
        <w:t xml:space="preserve"> gradually</w:t>
      </w:r>
      <w:r>
        <w:t xml:space="preserve"> increased </w:t>
      </w:r>
      <w:r w:rsidR="00A30084">
        <w:t xml:space="preserve">each year </w:t>
      </w:r>
      <w:r>
        <w:t>since 201</w:t>
      </w:r>
      <w:r w:rsidR="00A30084">
        <w:t>0</w:t>
      </w:r>
      <w:r w:rsidR="00146FB5">
        <w:t xml:space="preserve"> </w:t>
      </w:r>
      <w:r w:rsidR="001E2FF0">
        <w:t>due to an increas</w:t>
      </w:r>
      <w:r w:rsidR="00B86D77">
        <w:t>e</w:t>
      </w:r>
      <w:r w:rsidR="001E2FF0">
        <w:t xml:space="preserve"> </w:t>
      </w:r>
      <w:r w:rsidR="00146FB5">
        <w:t xml:space="preserve">in </w:t>
      </w:r>
      <w:r w:rsidR="001E2FF0">
        <w:t xml:space="preserve">community associated SAB. </w:t>
      </w:r>
      <w:r w:rsidR="00146FB5">
        <w:rPr>
          <w:rFonts w:cs="Gill Sans MT"/>
          <w:color w:val="000000"/>
        </w:rPr>
        <w:t>T</w:t>
      </w:r>
      <w:r w:rsidR="00146FB5" w:rsidRPr="002E6E53">
        <w:rPr>
          <w:rFonts w:cs="Gill Sans MT"/>
          <w:color w:val="000000"/>
        </w:rPr>
        <w:t xml:space="preserve">here </w:t>
      </w:r>
      <w:r w:rsidR="00146FB5">
        <w:rPr>
          <w:rFonts w:cs="Gill Sans MT"/>
          <w:color w:val="000000"/>
        </w:rPr>
        <w:t xml:space="preserve">were </w:t>
      </w:r>
      <w:proofErr w:type="gramStart"/>
      <w:r w:rsidR="00146FB5">
        <w:rPr>
          <w:rFonts w:cs="Gill Sans MT"/>
          <w:color w:val="000000"/>
        </w:rPr>
        <w:t xml:space="preserve">approximately twice </w:t>
      </w:r>
      <w:r w:rsidR="00146FB5" w:rsidRPr="002E6E53">
        <w:rPr>
          <w:rFonts w:cs="Gill Sans MT"/>
          <w:color w:val="000000"/>
        </w:rPr>
        <w:t>as many CA</w:t>
      </w:r>
      <w:r w:rsidR="00146FB5">
        <w:rPr>
          <w:rFonts w:cs="Gill Sans MT"/>
          <w:color w:val="000000"/>
        </w:rPr>
        <w:t xml:space="preserve"> </w:t>
      </w:r>
      <w:r w:rsidR="00146FB5" w:rsidRPr="002E6E53">
        <w:rPr>
          <w:rFonts w:cs="Gill Sans MT"/>
          <w:color w:val="000000"/>
        </w:rPr>
        <w:t>SAB than HCA SAB</w:t>
      </w:r>
      <w:r w:rsidR="00146FB5">
        <w:rPr>
          <w:rFonts w:cs="Gill Sans MT"/>
          <w:color w:val="000000"/>
        </w:rPr>
        <w:t xml:space="preserve"> from 2010 to </w:t>
      </w:r>
      <w:r w:rsidR="00256E5E">
        <w:rPr>
          <w:rFonts w:cs="Gill Sans MT"/>
          <w:color w:val="000000"/>
        </w:rPr>
        <w:t>20</w:t>
      </w:r>
      <w:r w:rsidR="00146FB5">
        <w:rPr>
          <w:rFonts w:cs="Gill Sans MT"/>
          <w:color w:val="000000"/>
        </w:rPr>
        <w:t>18 which is similar to reports in other Australian States (</w:t>
      </w:r>
      <w:r w:rsidR="00146FB5">
        <w:t xml:space="preserve">Imam N, </w:t>
      </w:r>
      <w:proofErr w:type="spellStart"/>
      <w:r w:rsidR="00146FB5">
        <w:t>Tempone</w:t>
      </w:r>
      <w:proofErr w:type="spellEnd"/>
      <w:r w:rsidR="00146FB5">
        <w:t xml:space="preserve"> S, Armstrong </w:t>
      </w:r>
      <w:r w:rsidR="008C563E">
        <w:t>PK,</w:t>
      </w:r>
      <w:r w:rsidR="00146FB5">
        <w:t xml:space="preserve"> McCann R, Johnson S, Worth LJ and Richards MJ</w:t>
      </w:r>
      <w:r w:rsidR="00146FB5">
        <w:rPr>
          <w:rFonts w:cs="Gill Sans MT"/>
          <w:color w:val="000000"/>
        </w:rPr>
        <w:t>. 2019)</w:t>
      </w:r>
      <w:proofErr w:type="gramEnd"/>
      <w:r w:rsidR="00146FB5">
        <w:rPr>
          <w:rFonts w:cs="Gill Sans MT"/>
          <w:color w:val="000000"/>
        </w:rPr>
        <w:t xml:space="preserve">. </w:t>
      </w:r>
      <w:r w:rsidR="001E2FF0">
        <w:t>Community associated SAB</w:t>
      </w:r>
      <w:r w:rsidR="00A30084">
        <w:t xml:space="preserve"> in 2018 </w:t>
      </w:r>
      <w:r w:rsidR="001E2FF0">
        <w:t>accounts for just over two thirds of all SAB</w:t>
      </w:r>
      <w:r w:rsidR="00A30084">
        <w:t xml:space="preserve"> which, although not directly comparable, is similar to the </w:t>
      </w:r>
      <w:r w:rsidR="00146FB5">
        <w:t>n</w:t>
      </w:r>
      <w:r w:rsidR="00A30084">
        <w:t xml:space="preserve">ational </w:t>
      </w:r>
      <w:r w:rsidR="00146FB5">
        <w:t>proportion</w:t>
      </w:r>
      <w:r w:rsidR="00A30084">
        <w:t xml:space="preserve"> of 77% (AGAR 2018)</w:t>
      </w:r>
      <w:r w:rsidR="00E01C83">
        <w:t xml:space="preserve"> of SAB being community onset events</w:t>
      </w:r>
      <w:r w:rsidR="00A30084">
        <w:t xml:space="preserve">. </w:t>
      </w:r>
    </w:p>
    <w:p w:rsidR="00216E48" w:rsidRDefault="00216E48" w:rsidP="00216E48">
      <w:pPr>
        <w:pStyle w:val="Heading1"/>
      </w:pPr>
      <w:bookmarkStart w:id="56" w:name="_Toc11225098"/>
      <w:bookmarkStart w:id="57" w:name="_Toc12540758"/>
      <w:bookmarkStart w:id="58" w:name="_Toc413158589"/>
      <w:bookmarkStart w:id="59" w:name="_Toc523989818"/>
      <w:bookmarkStart w:id="60" w:name="_Toc524592882"/>
      <w:r>
        <w:lastRenderedPageBreak/>
        <w:t>SAB and methicillin susceptibility</w:t>
      </w:r>
      <w:bookmarkEnd w:id="56"/>
      <w:bookmarkEnd w:id="57"/>
    </w:p>
    <w:p w:rsidR="00216E48" w:rsidRDefault="00E01C83" w:rsidP="00216E48">
      <w:pPr>
        <w:spacing w:after="336"/>
        <w:rPr>
          <w:rFonts w:cs="Arial"/>
        </w:rPr>
      </w:pPr>
      <w:r w:rsidRPr="00F85013">
        <w:rPr>
          <w:lang w:val="en" w:eastAsia="en-AU"/>
        </w:rPr>
        <w:t xml:space="preserve">Methicillin (flucloxacillin) susceptibility is reported for </w:t>
      </w:r>
      <w:r w:rsidR="00F85013">
        <w:rPr>
          <w:lang w:val="en" w:eastAsia="en-AU"/>
        </w:rPr>
        <w:t xml:space="preserve">all </w:t>
      </w:r>
      <w:r w:rsidRPr="00F85013">
        <w:rPr>
          <w:lang w:val="en" w:eastAsia="en-AU"/>
        </w:rPr>
        <w:t xml:space="preserve">Tasmanian </w:t>
      </w:r>
      <w:r w:rsidR="00216E48" w:rsidRPr="00F85013">
        <w:rPr>
          <w:lang w:val="en" w:eastAsia="en-AU"/>
        </w:rPr>
        <w:t>SAB</w:t>
      </w:r>
      <w:r w:rsidR="00F85013">
        <w:rPr>
          <w:lang w:val="en" w:eastAsia="en-AU"/>
        </w:rPr>
        <w:t>s</w:t>
      </w:r>
      <w:r w:rsidRPr="00F85013">
        <w:rPr>
          <w:lang w:val="en" w:eastAsia="en-AU"/>
        </w:rPr>
        <w:t>.</w:t>
      </w:r>
      <w:r w:rsidR="00216E48" w:rsidRPr="00F85013">
        <w:rPr>
          <w:lang w:val="en" w:eastAsia="en-AU"/>
        </w:rPr>
        <w:t xml:space="preserve"> This allows measurement of </w:t>
      </w:r>
      <w:r w:rsidR="00216E48" w:rsidRPr="00F85013">
        <w:rPr>
          <w:rFonts w:cs="Arial"/>
        </w:rPr>
        <w:t>the proportion of</w:t>
      </w:r>
      <w:r w:rsidR="00893EE5" w:rsidRPr="00F85013">
        <w:rPr>
          <w:rFonts w:cs="Arial"/>
        </w:rPr>
        <w:t xml:space="preserve"> SAB episodes with methicillin (flucloxacillin) resistan</w:t>
      </w:r>
      <w:r w:rsidR="00F85013" w:rsidRPr="00F85013">
        <w:rPr>
          <w:rFonts w:cs="Arial"/>
        </w:rPr>
        <w:t xml:space="preserve">ce, </w:t>
      </w:r>
      <w:r w:rsidR="00216E48" w:rsidRPr="00F85013">
        <w:rPr>
          <w:rFonts w:cs="Arial"/>
        </w:rPr>
        <w:t>and for identifying trends in resistance over time.</w:t>
      </w:r>
    </w:p>
    <w:p w:rsidR="00216E48" w:rsidRDefault="00216E48" w:rsidP="00216E48">
      <w:pPr>
        <w:pStyle w:val="Caption"/>
        <w:rPr>
          <w:b w:val="0"/>
          <w:sz w:val="22"/>
          <w:szCs w:val="22"/>
        </w:rPr>
      </w:pPr>
      <w:bookmarkStart w:id="61" w:name="_Toc11392028"/>
      <w:bookmarkStart w:id="62" w:name="_Toc11392382"/>
      <w:bookmarkStart w:id="63" w:name="_Toc12540714"/>
      <w:r w:rsidRPr="006A1179">
        <w:rPr>
          <w:sz w:val="22"/>
          <w:szCs w:val="22"/>
        </w:rPr>
        <w:t xml:space="preserve">Figure </w:t>
      </w:r>
      <w:r w:rsidRPr="006A1179">
        <w:rPr>
          <w:sz w:val="22"/>
          <w:szCs w:val="22"/>
        </w:rPr>
        <w:fldChar w:fldCharType="begin"/>
      </w:r>
      <w:r w:rsidRPr="006A1179">
        <w:rPr>
          <w:sz w:val="22"/>
          <w:szCs w:val="22"/>
        </w:rPr>
        <w:instrText xml:space="preserve"> SEQ Figure \* ARABIC </w:instrText>
      </w:r>
      <w:r w:rsidRPr="006A1179">
        <w:rPr>
          <w:sz w:val="22"/>
          <w:szCs w:val="22"/>
        </w:rPr>
        <w:fldChar w:fldCharType="separate"/>
      </w:r>
      <w:r w:rsidR="00EA0ED7">
        <w:rPr>
          <w:noProof/>
          <w:sz w:val="22"/>
          <w:szCs w:val="22"/>
        </w:rPr>
        <w:t>3</w:t>
      </w:r>
      <w:r w:rsidRPr="006A1179">
        <w:rPr>
          <w:sz w:val="22"/>
          <w:szCs w:val="22"/>
        </w:rPr>
        <w:fldChar w:fldCharType="end"/>
      </w:r>
      <w:r w:rsidRPr="006A1179">
        <w:rPr>
          <w:sz w:val="22"/>
          <w:szCs w:val="22"/>
        </w:rPr>
        <w:t xml:space="preserve"> </w:t>
      </w:r>
      <w:r w:rsidRPr="006A1179">
        <w:rPr>
          <w:b w:val="0"/>
          <w:sz w:val="22"/>
          <w:szCs w:val="22"/>
        </w:rPr>
        <w:t>Number of MSSA and MRSA SAB</w:t>
      </w:r>
      <w:bookmarkEnd w:id="61"/>
      <w:bookmarkEnd w:id="62"/>
      <w:bookmarkEnd w:id="63"/>
      <w:r w:rsidR="00A34836" w:rsidRPr="006A1179">
        <w:rPr>
          <w:b w:val="0"/>
          <w:sz w:val="22"/>
          <w:szCs w:val="22"/>
        </w:rPr>
        <w:t xml:space="preserve"> </w:t>
      </w:r>
    </w:p>
    <w:p w:rsidR="00216E48" w:rsidRPr="00014445" w:rsidRDefault="00014445" w:rsidP="00014445">
      <w:pPr>
        <w:spacing w:after="336"/>
      </w:pPr>
      <w:r>
        <w:rPr>
          <w:noProof/>
          <w:lang w:eastAsia="en-AU"/>
        </w:rPr>
        <w:drawing>
          <wp:inline distT="0" distB="0" distL="0" distR="0" wp14:anchorId="72465CF0">
            <wp:extent cx="5760720" cy="3436620"/>
            <wp:effectExtent l="0" t="0" r="0" b="0"/>
            <wp:docPr id="19" name="Picture 19" descr="Figure 3 Number of MSSA and MRSA SAB Text description provided below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436620"/>
                    </a:xfrm>
                    <a:prstGeom prst="rect">
                      <a:avLst/>
                    </a:prstGeom>
                    <a:noFill/>
                  </pic:spPr>
                </pic:pic>
              </a:graphicData>
            </a:graphic>
          </wp:inline>
        </w:drawing>
      </w:r>
      <w:bookmarkStart w:id="64" w:name="_Ref458589844"/>
      <w:bookmarkStart w:id="65" w:name="_Ref519849165"/>
    </w:p>
    <w:p w:rsidR="00216E48" w:rsidRPr="00C27FC6" w:rsidRDefault="00216E48" w:rsidP="00216E48">
      <w:pPr>
        <w:tabs>
          <w:tab w:val="left" w:pos="567"/>
        </w:tabs>
        <w:spacing w:afterLines="0"/>
      </w:pPr>
      <w:r w:rsidRPr="006A1179">
        <w:t>The average proportion of SAB that were MRSA was</w:t>
      </w:r>
      <w:r w:rsidR="004A4185" w:rsidRPr="006A1179">
        <w:t xml:space="preserve"> </w:t>
      </w:r>
      <w:r w:rsidR="00A34836" w:rsidRPr="006A1179">
        <w:t>8</w:t>
      </w:r>
      <w:r w:rsidRPr="006A1179">
        <w:t xml:space="preserve">% between 2010 </w:t>
      </w:r>
      <w:r w:rsidR="00B86D77">
        <w:t xml:space="preserve">to </w:t>
      </w:r>
      <w:r w:rsidRPr="006A1179">
        <w:t>201</w:t>
      </w:r>
      <w:r w:rsidR="00B86D77">
        <w:t xml:space="preserve">8. </w:t>
      </w:r>
      <w:r w:rsidR="00893EE5" w:rsidRPr="006A1179">
        <w:t xml:space="preserve">This is less than the reported National </w:t>
      </w:r>
      <w:r w:rsidR="00256E5E">
        <w:t xml:space="preserve">proportion </w:t>
      </w:r>
      <w:r w:rsidR="00893EE5" w:rsidRPr="006A1179">
        <w:t xml:space="preserve">of 19% (ACSQHC 2019, AGAR 2018).  Tasmania and the Australian Capital Territory had the lowest </w:t>
      </w:r>
      <w:r w:rsidR="00256E5E">
        <w:t>proportions</w:t>
      </w:r>
      <w:r w:rsidR="00893EE5" w:rsidRPr="006A1179">
        <w:t xml:space="preserve"> of </w:t>
      </w:r>
      <w:r w:rsidR="006A1179" w:rsidRPr="006A1179">
        <w:t xml:space="preserve">methicillin resistant SAB of all </w:t>
      </w:r>
      <w:r w:rsidR="00E01C83" w:rsidRPr="006A1179">
        <w:t>Australian</w:t>
      </w:r>
      <w:r w:rsidR="006A1179" w:rsidRPr="006A1179">
        <w:t xml:space="preserve"> States and Territories with the highest </w:t>
      </w:r>
      <w:r w:rsidR="00256E5E">
        <w:t>proportions</w:t>
      </w:r>
      <w:r w:rsidR="006A1179" w:rsidRPr="006A1179">
        <w:t xml:space="preserve"> reported in the Northern Territory (44%) (ACSQHC 2019, AGAR 2018). </w:t>
      </w:r>
    </w:p>
    <w:p w:rsidR="00216E48" w:rsidRDefault="00216E48" w:rsidP="00216E48">
      <w:pPr>
        <w:spacing w:afterLines="0"/>
      </w:pPr>
      <w:r>
        <w:t xml:space="preserve">Methicillin resistance has historically been regarded as an issue related to healthcare but MRSA bloodstream infections do occur in the community, albeit </w:t>
      </w:r>
      <w:r w:rsidR="00B86D77">
        <w:t>in lesser numbers</w:t>
      </w:r>
      <w:r>
        <w:t xml:space="preserve"> than within healthcare.   </w:t>
      </w:r>
      <w:r w:rsidR="006A1179">
        <w:t xml:space="preserve">The average proportion of Tasmanian community MRSA SAB between 2010 </w:t>
      </w:r>
      <w:r w:rsidR="00B86D77">
        <w:t>and</w:t>
      </w:r>
      <w:r w:rsidR="006A1179">
        <w:t xml:space="preserve"> 2018 was 6% while the average proportion of HCA MRSA SAB was 12% over the same time.</w:t>
      </w:r>
    </w:p>
    <w:p w:rsidR="00736D15" w:rsidRDefault="00736D15" w:rsidP="00736D15">
      <w:pPr>
        <w:pStyle w:val="Heading1"/>
      </w:pPr>
      <w:bookmarkStart w:id="66" w:name="_Toc11225099"/>
      <w:bookmarkStart w:id="67" w:name="_Toc12540759"/>
      <w:bookmarkEnd w:id="64"/>
      <w:bookmarkEnd w:id="65"/>
      <w:r>
        <w:lastRenderedPageBreak/>
        <w:t>Community associated SAB</w:t>
      </w:r>
      <w:bookmarkEnd w:id="66"/>
      <w:bookmarkEnd w:id="67"/>
      <w:r>
        <w:t xml:space="preserve"> </w:t>
      </w:r>
    </w:p>
    <w:p w:rsidR="00736D15" w:rsidRDefault="00736D15" w:rsidP="00736D15">
      <w:pPr>
        <w:tabs>
          <w:tab w:val="left" w:pos="567"/>
        </w:tabs>
        <w:spacing w:afterLines="0"/>
      </w:pPr>
      <w:r>
        <w:fldChar w:fldCharType="begin"/>
      </w:r>
      <w:r>
        <w:instrText xml:space="preserve"> REF _Ref8217644 \h </w:instrText>
      </w:r>
      <w:r>
        <w:fldChar w:fldCharType="separate"/>
      </w:r>
      <w:r w:rsidR="00EA0ED7" w:rsidRPr="00C71740">
        <w:t xml:space="preserve">Figure </w:t>
      </w:r>
      <w:r w:rsidR="00EA0ED7">
        <w:rPr>
          <w:noProof/>
        </w:rPr>
        <w:t>4</w:t>
      </w:r>
      <w:r>
        <w:fldChar w:fldCharType="end"/>
      </w:r>
      <w:r>
        <w:t xml:space="preserve"> presents the Tasmanian number and incidence</w:t>
      </w:r>
      <w:r w:rsidR="00256E5E">
        <w:t xml:space="preserve"> per</w:t>
      </w:r>
      <w:r>
        <w:t>100 000 population of community associated SAB (CA-SAB) by year.</w:t>
      </w:r>
    </w:p>
    <w:p w:rsidR="00736D15" w:rsidRDefault="00736D15" w:rsidP="00736D15">
      <w:pPr>
        <w:pStyle w:val="Caption"/>
        <w:rPr>
          <w:b w:val="0"/>
          <w:sz w:val="22"/>
          <w:szCs w:val="22"/>
        </w:rPr>
      </w:pPr>
      <w:bookmarkStart w:id="68" w:name="_Ref8217644"/>
      <w:bookmarkStart w:id="69" w:name="_Toc11392029"/>
      <w:bookmarkStart w:id="70" w:name="_Toc11392383"/>
      <w:bookmarkStart w:id="71" w:name="_Toc12540715"/>
      <w:r w:rsidRPr="00C71740">
        <w:rPr>
          <w:sz w:val="22"/>
          <w:szCs w:val="22"/>
        </w:rPr>
        <w:t xml:space="preserve">Figure </w:t>
      </w:r>
      <w:r w:rsidRPr="00C71740">
        <w:rPr>
          <w:sz w:val="22"/>
          <w:szCs w:val="22"/>
        </w:rPr>
        <w:fldChar w:fldCharType="begin"/>
      </w:r>
      <w:r w:rsidRPr="00C71740">
        <w:rPr>
          <w:sz w:val="22"/>
          <w:szCs w:val="22"/>
        </w:rPr>
        <w:instrText xml:space="preserve"> SEQ Figure \* ARABIC </w:instrText>
      </w:r>
      <w:r w:rsidRPr="00C71740">
        <w:rPr>
          <w:sz w:val="22"/>
          <w:szCs w:val="22"/>
        </w:rPr>
        <w:fldChar w:fldCharType="separate"/>
      </w:r>
      <w:r w:rsidR="00EA0ED7">
        <w:rPr>
          <w:noProof/>
          <w:sz w:val="22"/>
          <w:szCs w:val="22"/>
        </w:rPr>
        <w:t>4</w:t>
      </w:r>
      <w:r w:rsidRPr="00C71740">
        <w:rPr>
          <w:sz w:val="22"/>
          <w:szCs w:val="22"/>
        </w:rPr>
        <w:fldChar w:fldCharType="end"/>
      </w:r>
      <w:bookmarkEnd w:id="68"/>
      <w:r w:rsidRPr="00C71740">
        <w:rPr>
          <w:sz w:val="22"/>
          <w:szCs w:val="22"/>
        </w:rPr>
        <w:t xml:space="preserve"> </w:t>
      </w:r>
      <w:r w:rsidRPr="00C71740">
        <w:rPr>
          <w:b w:val="0"/>
          <w:sz w:val="22"/>
          <w:szCs w:val="22"/>
        </w:rPr>
        <w:t>Community</w:t>
      </w:r>
      <w:r w:rsidRPr="00C37193">
        <w:rPr>
          <w:b w:val="0"/>
          <w:sz w:val="22"/>
          <w:szCs w:val="22"/>
        </w:rPr>
        <w:t xml:space="preserve"> associated CA-SAB – number and incidenc</w:t>
      </w:r>
      <w:r w:rsidR="00256E5E">
        <w:rPr>
          <w:b w:val="0"/>
          <w:sz w:val="22"/>
          <w:szCs w:val="22"/>
        </w:rPr>
        <w:t>e per</w:t>
      </w:r>
      <w:r w:rsidRPr="00C37193">
        <w:rPr>
          <w:b w:val="0"/>
          <w:sz w:val="22"/>
          <w:szCs w:val="22"/>
        </w:rPr>
        <w:t>100 000 population</w:t>
      </w:r>
      <w:bookmarkEnd w:id="69"/>
      <w:bookmarkEnd w:id="70"/>
      <w:bookmarkEnd w:id="71"/>
    </w:p>
    <w:p w:rsidR="00736D15" w:rsidRPr="009138AD" w:rsidRDefault="00256E5E" w:rsidP="009138AD">
      <w:pPr>
        <w:spacing w:after="336"/>
      </w:pPr>
      <w:r>
        <w:rPr>
          <w:noProof/>
          <w:lang w:eastAsia="en-AU"/>
        </w:rPr>
        <w:drawing>
          <wp:inline distT="0" distB="0" distL="0" distR="0" wp14:anchorId="32BC32DF">
            <wp:extent cx="5798820" cy="3192780"/>
            <wp:effectExtent l="0" t="0" r="0" b="7620"/>
            <wp:docPr id="5" name="Picture 5" descr="Figure 4 Community associated CA-SAB – number and incidence/100 000 population&#10;Text description provided below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8820" cy="3192780"/>
                    </a:xfrm>
                    <a:prstGeom prst="rect">
                      <a:avLst/>
                    </a:prstGeom>
                    <a:noFill/>
                  </pic:spPr>
                </pic:pic>
              </a:graphicData>
            </a:graphic>
          </wp:inline>
        </w:drawing>
      </w:r>
    </w:p>
    <w:p w:rsidR="00736D15" w:rsidRDefault="00636E72" w:rsidP="00736D15">
      <w:pPr>
        <w:tabs>
          <w:tab w:val="left" w:pos="567"/>
        </w:tabs>
        <w:spacing w:afterLines="0"/>
        <w:rPr>
          <w:rFonts w:cs="Gill Sans MT"/>
          <w:color w:val="000000"/>
        </w:rPr>
      </w:pPr>
      <w:r>
        <w:rPr>
          <w:rFonts w:cs="Gill Sans MT"/>
          <w:color w:val="000000"/>
        </w:rPr>
        <w:t xml:space="preserve">The number and incidence of community associated SAB has doubled between 2010 and 2018. </w:t>
      </w:r>
      <w:r w:rsidR="00736D15" w:rsidRPr="002E6E53">
        <w:rPr>
          <w:rFonts w:cs="Gill Sans MT"/>
          <w:color w:val="000000"/>
        </w:rPr>
        <w:t>Research is being undertaken</w:t>
      </w:r>
      <w:r w:rsidR="00736D15">
        <w:rPr>
          <w:rFonts w:cs="Gill Sans MT"/>
          <w:color w:val="000000"/>
        </w:rPr>
        <w:t xml:space="preserve"> in Tasmania</w:t>
      </w:r>
      <w:r w:rsidR="00736D15" w:rsidRPr="002E6E53">
        <w:rPr>
          <w:rFonts w:cs="Gill Sans MT"/>
          <w:color w:val="000000"/>
        </w:rPr>
        <w:t xml:space="preserve"> to </w:t>
      </w:r>
      <w:r w:rsidR="0085013C">
        <w:rPr>
          <w:rFonts w:cs="Gill Sans MT"/>
          <w:color w:val="000000"/>
        </w:rPr>
        <w:t>better understand</w:t>
      </w:r>
      <w:r w:rsidR="00736D15" w:rsidRPr="002E6E53">
        <w:rPr>
          <w:rFonts w:cs="Gill Sans MT"/>
          <w:color w:val="000000"/>
        </w:rPr>
        <w:t xml:space="preserve"> the epidemiology of all SAB in Tasmania between 2011 and 2017 </w:t>
      </w:r>
      <w:r w:rsidR="0085013C">
        <w:rPr>
          <w:rFonts w:cs="Gill Sans MT"/>
          <w:color w:val="000000"/>
        </w:rPr>
        <w:t xml:space="preserve">and </w:t>
      </w:r>
      <w:r w:rsidR="00736D15" w:rsidRPr="002E6E53">
        <w:rPr>
          <w:rFonts w:cs="Gill Sans MT"/>
          <w:color w:val="000000"/>
        </w:rPr>
        <w:t xml:space="preserve">to describe the differing aetiologies of MSSA and MRSA SAB, and to investigate the potential for </w:t>
      </w:r>
      <w:r w:rsidR="0085013C">
        <w:rPr>
          <w:rFonts w:cs="Gill Sans MT"/>
          <w:color w:val="000000"/>
        </w:rPr>
        <w:t xml:space="preserve">under-recognition of the contribution of </w:t>
      </w:r>
      <w:r w:rsidR="00E01C83">
        <w:rPr>
          <w:rFonts w:cs="Gill Sans MT"/>
          <w:color w:val="000000"/>
        </w:rPr>
        <w:t xml:space="preserve">healthcare to SAB events </w:t>
      </w:r>
      <w:r w:rsidR="0085013C">
        <w:rPr>
          <w:rFonts w:cs="Gill Sans MT"/>
          <w:color w:val="000000"/>
        </w:rPr>
        <w:t xml:space="preserve">currently reported as </w:t>
      </w:r>
      <w:r w:rsidR="00E01C83">
        <w:rPr>
          <w:rFonts w:cs="Gill Sans MT"/>
          <w:color w:val="000000"/>
        </w:rPr>
        <w:t xml:space="preserve">community associated </w:t>
      </w:r>
      <w:r w:rsidR="00736D15" w:rsidRPr="002E6E53">
        <w:rPr>
          <w:rFonts w:cs="Gill Sans MT"/>
          <w:color w:val="000000"/>
        </w:rPr>
        <w:t>SAB</w:t>
      </w:r>
      <w:r w:rsidR="00E01C83">
        <w:rPr>
          <w:rFonts w:cs="Gill Sans MT"/>
          <w:color w:val="000000"/>
        </w:rPr>
        <w:t xml:space="preserve"> events.</w:t>
      </w:r>
    </w:p>
    <w:p w:rsidR="00736D15" w:rsidRDefault="00736D15" w:rsidP="00736D15">
      <w:pPr>
        <w:spacing w:after="336"/>
      </w:pPr>
      <w:r>
        <w:br w:type="page"/>
      </w:r>
    </w:p>
    <w:p w:rsidR="00C27FC6" w:rsidRDefault="00C27FC6" w:rsidP="0039594A">
      <w:pPr>
        <w:pStyle w:val="Heading1"/>
      </w:pPr>
      <w:bookmarkStart w:id="72" w:name="_Toc11225100"/>
      <w:bookmarkStart w:id="73" w:name="_Toc12540760"/>
      <w:r>
        <w:lastRenderedPageBreak/>
        <w:t>Healthcare associated SAB</w:t>
      </w:r>
      <w:bookmarkEnd w:id="72"/>
      <w:bookmarkEnd w:id="73"/>
    </w:p>
    <w:bookmarkEnd w:id="58"/>
    <w:bookmarkEnd w:id="59"/>
    <w:bookmarkEnd w:id="60"/>
    <w:p w:rsidR="00FC658B" w:rsidRPr="00F951E3" w:rsidRDefault="009B4BEA" w:rsidP="008845E5">
      <w:pPr>
        <w:pStyle w:val="Caption"/>
        <w:rPr>
          <w:b w:val="0"/>
          <w:sz w:val="22"/>
          <w:szCs w:val="22"/>
        </w:rPr>
      </w:pPr>
      <w:r w:rsidRPr="00F951E3">
        <w:rPr>
          <w:b w:val="0"/>
          <w:sz w:val="22"/>
          <w:szCs w:val="22"/>
        </w:rPr>
        <w:fldChar w:fldCharType="begin"/>
      </w:r>
      <w:r w:rsidRPr="00F951E3">
        <w:rPr>
          <w:b w:val="0"/>
          <w:sz w:val="22"/>
          <w:szCs w:val="22"/>
        </w:rPr>
        <w:instrText xml:space="preserve"> REF _Ref11154163 \h </w:instrText>
      </w:r>
      <w:r w:rsidR="00F951E3" w:rsidRPr="00F951E3">
        <w:rPr>
          <w:b w:val="0"/>
          <w:sz w:val="22"/>
          <w:szCs w:val="22"/>
        </w:rPr>
        <w:instrText xml:space="preserve"> \* MERGEFORMAT </w:instrText>
      </w:r>
      <w:r w:rsidRPr="00F951E3">
        <w:rPr>
          <w:b w:val="0"/>
          <w:sz w:val="22"/>
          <w:szCs w:val="22"/>
        </w:rPr>
      </w:r>
      <w:r w:rsidRPr="00F951E3">
        <w:rPr>
          <w:b w:val="0"/>
          <w:sz w:val="22"/>
          <w:szCs w:val="22"/>
        </w:rPr>
        <w:fldChar w:fldCharType="separate"/>
      </w:r>
      <w:r w:rsidR="00EA0ED7" w:rsidRPr="00EA0ED7">
        <w:rPr>
          <w:b w:val="0"/>
          <w:sz w:val="22"/>
          <w:szCs w:val="22"/>
        </w:rPr>
        <w:t xml:space="preserve">Figure </w:t>
      </w:r>
      <w:r w:rsidR="00EA0ED7" w:rsidRPr="00EA0ED7">
        <w:rPr>
          <w:b w:val="0"/>
          <w:noProof/>
          <w:sz w:val="22"/>
          <w:szCs w:val="22"/>
        </w:rPr>
        <w:t>5</w:t>
      </w:r>
      <w:r w:rsidRPr="00F951E3">
        <w:rPr>
          <w:b w:val="0"/>
          <w:sz w:val="22"/>
          <w:szCs w:val="22"/>
        </w:rPr>
        <w:fldChar w:fldCharType="end"/>
      </w:r>
      <w:r w:rsidRPr="00F951E3">
        <w:rPr>
          <w:b w:val="0"/>
          <w:sz w:val="22"/>
          <w:szCs w:val="22"/>
        </w:rPr>
        <w:t xml:space="preserve"> </w:t>
      </w:r>
      <w:r w:rsidR="00FC658B" w:rsidRPr="00F951E3">
        <w:rPr>
          <w:b w:val="0"/>
          <w:sz w:val="22"/>
          <w:szCs w:val="22"/>
        </w:rPr>
        <w:t xml:space="preserve">presents the </w:t>
      </w:r>
      <w:r w:rsidR="0079764F" w:rsidRPr="00F951E3">
        <w:rPr>
          <w:b w:val="0"/>
          <w:sz w:val="22"/>
          <w:szCs w:val="22"/>
        </w:rPr>
        <w:t>number of healthcare associated SAB (HCA SAB) associated with the four larger Tasmanian public hospitals per annum between 2010 and 2018</w:t>
      </w:r>
      <w:r w:rsidR="008845E5" w:rsidRPr="00F951E3">
        <w:rPr>
          <w:b w:val="0"/>
          <w:sz w:val="22"/>
          <w:szCs w:val="22"/>
        </w:rPr>
        <w:t xml:space="preserve">, </w:t>
      </w:r>
      <w:r w:rsidR="0079764F" w:rsidRPr="00F951E3">
        <w:rPr>
          <w:b w:val="0"/>
          <w:sz w:val="22"/>
          <w:szCs w:val="22"/>
        </w:rPr>
        <w:t xml:space="preserve"> </w:t>
      </w:r>
      <w:r w:rsidR="0096392B" w:rsidRPr="00F951E3">
        <w:rPr>
          <w:b w:val="0"/>
          <w:sz w:val="22"/>
          <w:szCs w:val="22"/>
        </w:rPr>
        <w:fldChar w:fldCharType="begin"/>
      </w:r>
      <w:r w:rsidR="0096392B" w:rsidRPr="00F951E3">
        <w:rPr>
          <w:b w:val="0"/>
          <w:sz w:val="22"/>
          <w:szCs w:val="22"/>
        </w:rPr>
        <w:instrText xml:space="preserve"> REF _Ref12431772 \h </w:instrText>
      </w:r>
      <w:r w:rsidR="00F951E3" w:rsidRPr="00F951E3">
        <w:rPr>
          <w:b w:val="0"/>
          <w:sz w:val="22"/>
          <w:szCs w:val="22"/>
        </w:rPr>
        <w:instrText xml:space="preserve"> \* MERGEFORMAT </w:instrText>
      </w:r>
      <w:r w:rsidR="0096392B" w:rsidRPr="00F951E3">
        <w:rPr>
          <w:b w:val="0"/>
          <w:sz w:val="22"/>
          <w:szCs w:val="22"/>
        </w:rPr>
      </w:r>
      <w:r w:rsidR="0096392B" w:rsidRPr="00F951E3">
        <w:rPr>
          <w:b w:val="0"/>
          <w:sz w:val="22"/>
          <w:szCs w:val="22"/>
        </w:rPr>
        <w:fldChar w:fldCharType="separate"/>
      </w:r>
      <w:r w:rsidR="00EA0ED7" w:rsidRPr="00EA0ED7">
        <w:rPr>
          <w:b w:val="0"/>
          <w:sz w:val="22"/>
          <w:szCs w:val="22"/>
        </w:rPr>
        <w:t xml:space="preserve">Figure </w:t>
      </w:r>
      <w:r w:rsidR="00EA0ED7" w:rsidRPr="00EA0ED7">
        <w:rPr>
          <w:b w:val="0"/>
          <w:noProof/>
          <w:sz w:val="22"/>
          <w:szCs w:val="22"/>
        </w:rPr>
        <w:t>6</w:t>
      </w:r>
      <w:r w:rsidR="0096392B" w:rsidRPr="00F951E3">
        <w:rPr>
          <w:b w:val="0"/>
          <w:sz w:val="22"/>
          <w:szCs w:val="22"/>
        </w:rPr>
        <w:fldChar w:fldCharType="end"/>
      </w:r>
      <w:r w:rsidR="0096392B" w:rsidRPr="00F951E3">
        <w:rPr>
          <w:b w:val="0"/>
          <w:sz w:val="22"/>
          <w:szCs w:val="22"/>
        </w:rPr>
        <w:t xml:space="preserve"> </w:t>
      </w:r>
      <w:r w:rsidR="0079764F" w:rsidRPr="00F951E3">
        <w:rPr>
          <w:b w:val="0"/>
          <w:sz w:val="22"/>
          <w:szCs w:val="22"/>
        </w:rPr>
        <w:t>presents the rate per 10 000 patient beds days over the same time</w:t>
      </w:r>
      <w:r w:rsidR="008845E5" w:rsidRPr="00F951E3">
        <w:rPr>
          <w:b w:val="0"/>
          <w:sz w:val="22"/>
          <w:szCs w:val="22"/>
        </w:rPr>
        <w:t xml:space="preserve"> and </w:t>
      </w:r>
      <w:r w:rsidR="008845E5" w:rsidRPr="00F951E3">
        <w:rPr>
          <w:b w:val="0"/>
          <w:sz w:val="22"/>
          <w:szCs w:val="22"/>
        </w:rPr>
        <w:fldChar w:fldCharType="begin"/>
      </w:r>
      <w:r w:rsidR="008845E5" w:rsidRPr="00F951E3">
        <w:rPr>
          <w:b w:val="0"/>
          <w:sz w:val="22"/>
          <w:szCs w:val="22"/>
        </w:rPr>
        <w:instrText xml:space="preserve"> REF _Ref12432293 \h  \* MERGEFORMAT </w:instrText>
      </w:r>
      <w:r w:rsidR="008845E5" w:rsidRPr="00F951E3">
        <w:rPr>
          <w:b w:val="0"/>
          <w:sz w:val="22"/>
          <w:szCs w:val="22"/>
        </w:rPr>
      </w:r>
      <w:r w:rsidR="008845E5" w:rsidRPr="00F951E3">
        <w:rPr>
          <w:b w:val="0"/>
          <w:sz w:val="22"/>
          <w:szCs w:val="22"/>
        </w:rPr>
        <w:fldChar w:fldCharType="separate"/>
      </w:r>
      <w:r w:rsidR="00EA0ED7" w:rsidRPr="00EA0ED7">
        <w:rPr>
          <w:b w:val="0"/>
          <w:sz w:val="22"/>
          <w:szCs w:val="22"/>
        </w:rPr>
        <w:t xml:space="preserve">Figure </w:t>
      </w:r>
      <w:r w:rsidR="00EA0ED7" w:rsidRPr="00EA0ED7">
        <w:rPr>
          <w:b w:val="0"/>
          <w:noProof/>
          <w:sz w:val="22"/>
          <w:szCs w:val="22"/>
        </w:rPr>
        <w:t>7</w:t>
      </w:r>
      <w:r w:rsidR="008845E5" w:rsidRPr="00F951E3">
        <w:rPr>
          <w:b w:val="0"/>
          <w:sz w:val="22"/>
          <w:szCs w:val="22"/>
        </w:rPr>
        <w:fldChar w:fldCharType="end"/>
      </w:r>
      <w:r w:rsidR="008845E5" w:rsidRPr="00F951E3">
        <w:rPr>
          <w:b w:val="0"/>
          <w:sz w:val="22"/>
          <w:szCs w:val="22"/>
        </w:rPr>
        <w:t xml:space="preserve"> presents the individual acute public hospitals HCA SAB rate per 10 000 patient days per year.</w:t>
      </w:r>
    </w:p>
    <w:p w:rsidR="005D2748" w:rsidRDefault="009B4BEA" w:rsidP="0079764F">
      <w:pPr>
        <w:pStyle w:val="Caption"/>
        <w:rPr>
          <w:b w:val="0"/>
          <w:sz w:val="22"/>
          <w:szCs w:val="22"/>
        </w:rPr>
      </w:pPr>
      <w:bookmarkStart w:id="74" w:name="_Ref11154163"/>
      <w:bookmarkStart w:id="75" w:name="_Toc11392030"/>
      <w:bookmarkStart w:id="76" w:name="_Toc11392384"/>
      <w:bookmarkStart w:id="77" w:name="_Toc12540716"/>
      <w:r>
        <w:t xml:space="preserve">Figure </w:t>
      </w:r>
      <w:r w:rsidR="006A1179">
        <w:rPr>
          <w:noProof/>
        </w:rPr>
        <w:fldChar w:fldCharType="begin"/>
      </w:r>
      <w:r w:rsidR="006A1179">
        <w:rPr>
          <w:noProof/>
        </w:rPr>
        <w:instrText xml:space="preserve"> SEQ Figure \* ARABIC </w:instrText>
      </w:r>
      <w:r w:rsidR="006A1179">
        <w:rPr>
          <w:noProof/>
        </w:rPr>
        <w:fldChar w:fldCharType="separate"/>
      </w:r>
      <w:r w:rsidR="00EA0ED7">
        <w:rPr>
          <w:noProof/>
        </w:rPr>
        <w:t>5</w:t>
      </w:r>
      <w:r w:rsidR="006A1179">
        <w:rPr>
          <w:noProof/>
        </w:rPr>
        <w:fldChar w:fldCharType="end"/>
      </w:r>
      <w:bookmarkEnd w:id="74"/>
      <w:r>
        <w:t xml:space="preserve"> </w:t>
      </w:r>
      <w:r w:rsidR="00105081" w:rsidRPr="00105081">
        <w:rPr>
          <w:b w:val="0"/>
          <w:sz w:val="22"/>
          <w:szCs w:val="22"/>
        </w:rPr>
        <w:t>Total</w:t>
      </w:r>
      <w:r w:rsidR="00E478F5">
        <w:rPr>
          <w:b w:val="0"/>
          <w:sz w:val="22"/>
          <w:szCs w:val="22"/>
        </w:rPr>
        <w:t xml:space="preserve"> acute public hospital HCA SAB </w:t>
      </w:r>
      <w:bookmarkEnd w:id="75"/>
      <w:bookmarkEnd w:id="76"/>
      <w:r w:rsidR="00645A25">
        <w:rPr>
          <w:b w:val="0"/>
          <w:sz w:val="22"/>
          <w:szCs w:val="22"/>
        </w:rPr>
        <w:t>number</w:t>
      </w:r>
      <w:bookmarkEnd w:id="77"/>
    </w:p>
    <w:p w:rsidR="0079764F" w:rsidRDefault="00F951E3" w:rsidP="00F951E3">
      <w:pPr>
        <w:spacing w:after="336"/>
      </w:pPr>
      <w:r>
        <w:rPr>
          <w:noProof/>
          <w:lang w:eastAsia="en-AU"/>
        </w:rPr>
        <w:drawing>
          <wp:inline distT="0" distB="0" distL="0" distR="0" wp14:anchorId="5893D156">
            <wp:extent cx="5791200" cy="3030279"/>
            <wp:effectExtent l="0" t="0" r="0" b="0"/>
            <wp:docPr id="9" name="Picture 9" descr="Figure 5 Healthcare associated Staphylococcus aureus bacteraemia number per year&#10;Text description provided below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6084" cy="3038067"/>
                    </a:xfrm>
                    <a:prstGeom prst="rect">
                      <a:avLst/>
                    </a:prstGeom>
                    <a:noFill/>
                  </pic:spPr>
                </pic:pic>
              </a:graphicData>
            </a:graphic>
          </wp:inline>
        </w:drawing>
      </w:r>
      <w:bookmarkStart w:id="78" w:name="_Ref458589372"/>
    </w:p>
    <w:p w:rsidR="0079764F" w:rsidRDefault="00E478F5" w:rsidP="00E478F5">
      <w:pPr>
        <w:pStyle w:val="Caption"/>
        <w:rPr>
          <w:b w:val="0"/>
          <w:sz w:val="22"/>
          <w:szCs w:val="22"/>
        </w:rPr>
      </w:pPr>
      <w:bookmarkStart w:id="79" w:name="_Ref12431772"/>
      <w:bookmarkStart w:id="80" w:name="_Toc12540717"/>
      <w:r w:rsidRPr="00E478F5">
        <w:rPr>
          <w:sz w:val="22"/>
          <w:szCs w:val="22"/>
        </w:rPr>
        <w:t xml:space="preserve">Figure </w:t>
      </w:r>
      <w:r w:rsidRPr="00E478F5">
        <w:rPr>
          <w:sz w:val="22"/>
          <w:szCs w:val="22"/>
        </w:rPr>
        <w:fldChar w:fldCharType="begin"/>
      </w:r>
      <w:r w:rsidRPr="00E478F5">
        <w:rPr>
          <w:sz w:val="22"/>
          <w:szCs w:val="22"/>
        </w:rPr>
        <w:instrText xml:space="preserve"> SEQ Figure \* ARABIC </w:instrText>
      </w:r>
      <w:r w:rsidRPr="00E478F5">
        <w:rPr>
          <w:sz w:val="22"/>
          <w:szCs w:val="22"/>
        </w:rPr>
        <w:fldChar w:fldCharType="separate"/>
      </w:r>
      <w:r w:rsidR="00EA0ED7">
        <w:rPr>
          <w:noProof/>
          <w:sz w:val="22"/>
          <w:szCs w:val="22"/>
        </w:rPr>
        <w:t>6</w:t>
      </w:r>
      <w:r w:rsidRPr="00E478F5">
        <w:rPr>
          <w:sz w:val="22"/>
          <w:szCs w:val="22"/>
        </w:rPr>
        <w:fldChar w:fldCharType="end"/>
      </w:r>
      <w:bookmarkEnd w:id="79"/>
      <w:r w:rsidRPr="00E478F5">
        <w:rPr>
          <w:b w:val="0"/>
          <w:sz w:val="22"/>
          <w:szCs w:val="22"/>
        </w:rPr>
        <w:t xml:space="preserve"> Total acute public hospital </w:t>
      </w:r>
      <w:r>
        <w:rPr>
          <w:b w:val="0"/>
          <w:sz w:val="22"/>
          <w:szCs w:val="22"/>
        </w:rPr>
        <w:t xml:space="preserve">HCA SAB </w:t>
      </w:r>
      <w:r w:rsidR="00645A25">
        <w:rPr>
          <w:b w:val="0"/>
          <w:sz w:val="22"/>
          <w:szCs w:val="22"/>
        </w:rPr>
        <w:t xml:space="preserve">rate </w:t>
      </w:r>
      <w:r w:rsidR="00862FED" w:rsidRPr="00E478F5">
        <w:rPr>
          <w:b w:val="0"/>
          <w:sz w:val="22"/>
          <w:szCs w:val="22"/>
        </w:rPr>
        <w:t>per 10 000 patient days</w:t>
      </w:r>
      <w:bookmarkEnd w:id="80"/>
    </w:p>
    <w:p w:rsidR="0079764F" w:rsidRDefault="003A7746" w:rsidP="00EE1E15">
      <w:pPr>
        <w:spacing w:after="336"/>
      </w:pPr>
      <w:r>
        <w:rPr>
          <w:noProof/>
          <w:lang w:eastAsia="en-AU"/>
        </w:rPr>
        <w:drawing>
          <wp:inline distT="0" distB="0" distL="0" distR="0" wp14:anchorId="6DCEF1AF" wp14:editId="371ABEFC">
            <wp:extent cx="5798820" cy="3276600"/>
            <wp:effectExtent l="0" t="0" r="0" b="0"/>
            <wp:docPr id="7" name="Picture 7" descr="Figure 6 Healthcare associated Staphylococcus aureus bacteraemia rate per 10 000 patient days per year&#10;Text description provided below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8820" cy="3276600"/>
                    </a:xfrm>
                    <a:prstGeom prst="rect">
                      <a:avLst/>
                    </a:prstGeom>
                    <a:noFill/>
                  </pic:spPr>
                </pic:pic>
              </a:graphicData>
            </a:graphic>
          </wp:inline>
        </w:drawing>
      </w:r>
    </w:p>
    <w:p w:rsidR="00105081" w:rsidRDefault="00105081" w:rsidP="00105081">
      <w:pPr>
        <w:tabs>
          <w:tab w:val="left" w:pos="567"/>
        </w:tabs>
        <w:spacing w:afterLines="0"/>
      </w:pPr>
      <w:r w:rsidRPr="008B21CA">
        <w:t xml:space="preserve">The </w:t>
      </w:r>
      <w:r>
        <w:t>number</w:t>
      </w:r>
      <w:r w:rsidR="00E478F5">
        <w:t xml:space="preserve"> and rate</w:t>
      </w:r>
      <w:r>
        <w:t xml:space="preserve"> </w:t>
      </w:r>
      <w:r w:rsidR="00E478F5">
        <w:t xml:space="preserve">of HCA SAB declined between 2010 and 2013, increased </w:t>
      </w:r>
      <w:r w:rsidR="00EE1E15">
        <w:t xml:space="preserve">in </w:t>
      </w:r>
      <w:r w:rsidR="00E478F5">
        <w:t>2014 and 2015 but has remined stable since</w:t>
      </w:r>
      <w:r w:rsidR="00EE1E15">
        <w:t xml:space="preserve"> then</w:t>
      </w:r>
      <w:r w:rsidR="0096392B">
        <w:t xml:space="preserve">. </w:t>
      </w:r>
      <w:r w:rsidR="00E478F5">
        <w:t xml:space="preserve">The </w:t>
      </w:r>
      <w:r>
        <w:t>average</w:t>
      </w:r>
      <w:r w:rsidR="00E478F5">
        <w:t xml:space="preserve"> number of </w:t>
      </w:r>
      <w:r>
        <w:t xml:space="preserve">HCA SAB </w:t>
      </w:r>
      <w:r w:rsidR="00E478F5">
        <w:t xml:space="preserve">per year is 35 </w:t>
      </w:r>
      <w:r w:rsidR="0096392B">
        <w:t xml:space="preserve">and the </w:t>
      </w:r>
      <w:r w:rsidR="00E478F5">
        <w:t xml:space="preserve">average </w:t>
      </w:r>
      <w:r>
        <w:t xml:space="preserve">rate </w:t>
      </w:r>
      <w:r w:rsidR="00EE1E15">
        <w:t xml:space="preserve">of HCA SAB </w:t>
      </w:r>
      <w:r w:rsidR="0096392B">
        <w:t xml:space="preserve">is </w:t>
      </w:r>
      <w:r w:rsidR="00EE1E15">
        <w:t>one</w:t>
      </w:r>
      <w:r w:rsidR="0096392B">
        <w:t xml:space="preserve"> per 10 000 </w:t>
      </w:r>
      <w:r>
        <w:t>patient days</w:t>
      </w:r>
      <w:r w:rsidR="00E478F5">
        <w:t xml:space="preserve"> per year</w:t>
      </w:r>
      <w:r w:rsidR="00EE1E15">
        <w:t xml:space="preserve">. </w:t>
      </w:r>
    </w:p>
    <w:p w:rsidR="00E478F5" w:rsidRDefault="00E478F5" w:rsidP="00105081">
      <w:pPr>
        <w:tabs>
          <w:tab w:val="left" w:pos="567"/>
        </w:tabs>
        <w:spacing w:afterLines="0"/>
        <w:rPr>
          <w:rFonts w:eastAsia="Times New Roman" w:cs="Times New Roman"/>
        </w:rPr>
      </w:pPr>
    </w:p>
    <w:p w:rsidR="00645A25" w:rsidRDefault="00105081" w:rsidP="00105081">
      <w:pPr>
        <w:pStyle w:val="Caption"/>
        <w:rPr>
          <w:b w:val="0"/>
          <w:sz w:val="22"/>
          <w:szCs w:val="22"/>
        </w:rPr>
      </w:pPr>
      <w:bookmarkStart w:id="81" w:name="_Ref8117118"/>
      <w:bookmarkStart w:id="82" w:name="_Ref12432293"/>
      <w:bookmarkStart w:id="83" w:name="_Toc12540718"/>
      <w:bookmarkStart w:id="84" w:name="_Toc11392031"/>
      <w:bookmarkStart w:id="85" w:name="_Toc11392385"/>
      <w:r w:rsidRPr="00105081">
        <w:rPr>
          <w:sz w:val="22"/>
          <w:szCs w:val="22"/>
        </w:rPr>
        <w:t xml:space="preserve">Figure </w:t>
      </w:r>
      <w:r w:rsidRPr="00105081">
        <w:rPr>
          <w:sz w:val="22"/>
          <w:szCs w:val="22"/>
        </w:rPr>
        <w:fldChar w:fldCharType="begin"/>
      </w:r>
      <w:r w:rsidRPr="00105081">
        <w:rPr>
          <w:sz w:val="22"/>
          <w:szCs w:val="22"/>
        </w:rPr>
        <w:instrText xml:space="preserve"> SEQ Figure \* ARABIC </w:instrText>
      </w:r>
      <w:r w:rsidRPr="00105081">
        <w:rPr>
          <w:sz w:val="22"/>
          <w:szCs w:val="22"/>
        </w:rPr>
        <w:fldChar w:fldCharType="separate"/>
      </w:r>
      <w:r w:rsidR="00EA0ED7">
        <w:rPr>
          <w:noProof/>
          <w:sz w:val="22"/>
          <w:szCs w:val="22"/>
        </w:rPr>
        <w:t>7</w:t>
      </w:r>
      <w:r w:rsidRPr="00105081">
        <w:rPr>
          <w:sz w:val="22"/>
          <w:szCs w:val="22"/>
        </w:rPr>
        <w:fldChar w:fldCharType="end"/>
      </w:r>
      <w:bookmarkEnd w:id="81"/>
      <w:bookmarkEnd w:id="82"/>
      <w:r w:rsidRPr="00105081">
        <w:rPr>
          <w:sz w:val="22"/>
          <w:szCs w:val="22"/>
        </w:rPr>
        <w:t xml:space="preserve"> </w:t>
      </w:r>
      <w:r w:rsidRPr="00105081">
        <w:rPr>
          <w:b w:val="0"/>
          <w:sz w:val="22"/>
          <w:szCs w:val="22"/>
        </w:rPr>
        <w:t>Individual</w:t>
      </w:r>
      <w:r w:rsidR="00D10BBA">
        <w:rPr>
          <w:b w:val="0"/>
          <w:sz w:val="22"/>
          <w:szCs w:val="22"/>
        </w:rPr>
        <w:t xml:space="preserve"> acute public hospitals HCA SAB</w:t>
      </w:r>
      <w:r w:rsidR="00645A25">
        <w:rPr>
          <w:b w:val="0"/>
          <w:sz w:val="22"/>
          <w:szCs w:val="22"/>
        </w:rPr>
        <w:t xml:space="preserve"> rate per 10 000 patient days</w:t>
      </w:r>
      <w:bookmarkEnd w:id="83"/>
    </w:p>
    <w:p w:rsidR="00105081" w:rsidRPr="004D53EA" w:rsidRDefault="004D53EA" w:rsidP="004D53EA">
      <w:pPr>
        <w:spacing w:after="336"/>
      </w:pPr>
      <w:r>
        <w:rPr>
          <w:noProof/>
          <w:lang w:eastAsia="en-AU"/>
        </w:rPr>
        <w:drawing>
          <wp:inline distT="0" distB="0" distL="0" distR="0" wp14:anchorId="181D9F7E" wp14:editId="437C655D">
            <wp:extent cx="5867400" cy="3390900"/>
            <wp:effectExtent l="0" t="0" r="0" b="0"/>
            <wp:docPr id="13" name="Picture 13" descr="Figure 7 Individual hospital healthcare associated Staphylococcus aureus bacteraemia rate per 10 000 patient days&#10;Text description provided below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3390900"/>
                    </a:xfrm>
                    <a:prstGeom prst="rect">
                      <a:avLst/>
                    </a:prstGeom>
                    <a:noFill/>
                  </pic:spPr>
                </pic:pic>
              </a:graphicData>
            </a:graphic>
          </wp:inline>
        </w:drawing>
      </w:r>
      <w:bookmarkEnd w:id="84"/>
      <w:bookmarkEnd w:id="85"/>
    </w:p>
    <w:p w:rsidR="00EE1E15" w:rsidRDefault="005E6FAA" w:rsidP="00C27FC6">
      <w:pPr>
        <w:tabs>
          <w:tab w:val="left" w:pos="567"/>
        </w:tabs>
        <w:spacing w:afterLines="0"/>
        <w:rPr>
          <w:rFonts w:eastAsia="Times New Roman" w:cs="Times New Roman"/>
        </w:rPr>
      </w:pPr>
      <w:r>
        <w:rPr>
          <w:rFonts w:eastAsia="Times New Roman" w:cs="Times New Roman"/>
        </w:rPr>
        <w:t>Th</w:t>
      </w:r>
      <w:r w:rsidR="00A01475">
        <w:rPr>
          <w:rFonts w:eastAsia="Times New Roman" w:cs="Times New Roman"/>
        </w:rPr>
        <w:t>e</w:t>
      </w:r>
      <w:r>
        <w:rPr>
          <w:rFonts w:eastAsia="Times New Roman" w:cs="Times New Roman"/>
        </w:rPr>
        <w:t xml:space="preserve"> rate </w:t>
      </w:r>
      <w:r w:rsidR="00A01475">
        <w:rPr>
          <w:rFonts w:eastAsia="Times New Roman" w:cs="Times New Roman"/>
        </w:rPr>
        <w:t xml:space="preserve">for each individual hospital </w:t>
      </w:r>
      <w:r>
        <w:rPr>
          <w:rFonts w:eastAsia="Times New Roman" w:cs="Times New Roman"/>
        </w:rPr>
        <w:t>has</w:t>
      </w:r>
      <w:r w:rsidR="00A01475">
        <w:rPr>
          <w:rFonts w:eastAsia="Times New Roman" w:cs="Times New Roman"/>
        </w:rPr>
        <w:t xml:space="preserve"> </w:t>
      </w:r>
      <w:r>
        <w:rPr>
          <w:rFonts w:eastAsia="Times New Roman" w:cs="Times New Roman"/>
        </w:rPr>
        <w:t xml:space="preserve">been below the </w:t>
      </w:r>
      <w:r w:rsidRPr="00CC45E7">
        <w:rPr>
          <w:rFonts w:eastAsia="Times New Roman" w:cs="Times New Roman"/>
        </w:rPr>
        <w:t xml:space="preserve">National Healthcare Agreement (2011) target </w:t>
      </w:r>
      <w:r>
        <w:rPr>
          <w:rFonts w:eastAsia="Times New Roman" w:cs="Times New Roman"/>
        </w:rPr>
        <w:t>of</w:t>
      </w:r>
      <w:r w:rsidRPr="00CC45E7">
        <w:rPr>
          <w:rFonts w:eastAsia="Times New Roman" w:cs="Times New Roman"/>
        </w:rPr>
        <w:t xml:space="preserve"> no more than two HCA SAB per10 000 patient days</w:t>
      </w:r>
      <w:r>
        <w:rPr>
          <w:rFonts w:eastAsia="Times New Roman" w:cs="Times New Roman"/>
        </w:rPr>
        <w:t xml:space="preserve"> for each public hospital</w:t>
      </w:r>
      <w:r w:rsidR="00A01475">
        <w:rPr>
          <w:rFonts w:eastAsia="Times New Roman" w:cs="Times New Roman"/>
        </w:rPr>
        <w:t xml:space="preserve"> since 2015</w:t>
      </w:r>
      <w:r w:rsidRPr="00CC45E7">
        <w:rPr>
          <w:rFonts w:eastAsia="Times New Roman" w:cs="Times New Roman"/>
        </w:rPr>
        <w:t>.</w:t>
      </w:r>
      <w:r w:rsidR="008D3839">
        <w:rPr>
          <w:rFonts w:eastAsia="Times New Roman" w:cs="Times New Roman"/>
        </w:rPr>
        <w:t xml:space="preserve"> </w:t>
      </w:r>
    </w:p>
    <w:p w:rsidR="00DE1422" w:rsidRDefault="00DE1422" w:rsidP="00DE1422">
      <w:pPr>
        <w:tabs>
          <w:tab w:val="left" w:pos="567"/>
        </w:tabs>
        <w:spacing w:afterLines="0"/>
        <w:rPr>
          <w:rFonts w:eastAsia="Times New Roman" w:cs="Times New Roman"/>
        </w:rPr>
      </w:pPr>
      <w:r>
        <w:rPr>
          <w:rFonts w:eastAsia="Times New Roman" w:cs="Times New Roman"/>
        </w:rPr>
        <w:t>Mersey Community Hospital exceeded the</w:t>
      </w:r>
      <w:r w:rsidR="003A7746">
        <w:rPr>
          <w:rFonts w:eastAsia="Times New Roman" w:cs="Times New Roman"/>
        </w:rPr>
        <w:t xml:space="preserve"> rate</w:t>
      </w:r>
      <w:r>
        <w:rPr>
          <w:rFonts w:eastAsia="Times New Roman" w:cs="Times New Roman"/>
        </w:rPr>
        <w:t xml:space="preserve"> threshold in 2014 when they had five HCA SAB but have remained under the threshold since then.  </w:t>
      </w:r>
    </w:p>
    <w:p w:rsidR="00EE1E15" w:rsidRDefault="00EE1E15" w:rsidP="00C27FC6">
      <w:pPr>
        <w:tabs>
          <w:tab w:val="left" w:pos="567"/>
        </w:tabs>
        <w:spacing w:afterLines="0"/>
        <w:rPr>
          <w:rFonts w:eastAsia="Times New Roman" w:cs="Times New Roman"/>
        </w:rPr>
      </w:pPr>
      <w:r>
        <w:rPr>
          <w:rFonts w:eastAsia="Times New Roman" w:cs="Times New Roman"/>
        </w:rPr>
        <w:t xml:space="preserve">The mean annual number of cases and range for each hospital were as follows: RHH (16, 10 – 30). LGH (13, 9 – 18), MCH 3, (0 – 5), NWRH (3, 2 – 6). </w:t>
      </w:r>
    </w:p>
    <w:p w:rsidR="00C0593F" w:rsidRDefault="00C0593F">
      <w:pPr>
        <w:spacing w:after="336"/>
        <w:rPr>
          <w:rFonts w:eastAsia="Times New Roman" w:cs="Times New Roman"/>
        </w:rPr>
      </w:pPr>
      <w:r>
        <w:rPr>
          <w:rFonts w:eastAsia="Times New Roman" w:cs="Times New Roman"/>
        </w:rPr>
        <w:br w:type="page"/>
      </w:r>
    </w:p>
    <w:p w:rsidR="00C21C3F" w:rsidRPr="00C21C3F" w:rsidRDefault="00C21C3F" w:rsidP="00C21C3F">
      <w:pPr>
        <w:pStyle w:val="Heading2"/>
        <w:spacing w:after="336"/>
        <w:rPr>
          <w:rFonts w:ascii="Gill Sans MT" w:hAnsi="Gill Sans MT"/>
          <w:color w:val="auto"/>
          <w:sz w:val="32"/>
          <w:szCs w:val="32"/>
        </w:rPr>
      </w:pPr>
      <w:bookmarkStart w:id="86" w:name="_Toc11225101"/>
      <w:bookmarkStart w:id="87" w:name="_Toc12540761"/>
      <w:r>
        <w:rPr>
          <w:rFonts w:ascii="Gill Sans MT" w:hAnsi="Gill Sans MT"/>
          <w:color w:val="auto"/>
          <w:sz w:val="32"/>
          <w:szCs w:val="32"/>
        </w:rPr>
        <w:lastRenderedPageBreak/>
        <w:t>Individual hospital HCA SAB rate comparisons with National peer group average</w:t>
      </w:r>
      <w:bookmarkEnd w:id="86"/>
      <w:bookmarkEnd w:id="87"/>
    </w:p>
    <w:p w:rsidR="00105081" w:rsidRDefault="00C0593F" w:rsidP="00C27FC6">
      <w:pPr>
        <w:tabs>
          <w:tab w:val="left" w:pos="567"/>
        </w:tabs>
        <w:spacing w:afterLines="0"/>
        <w:rPr>
          <w:rFonts w:eastAsia="Times New Roman" w:cs="Times New Roman"/>
        </w:rPr>
      </w:pPr>
      <w:r>
        <w:rPr>
          <w:rFonts w:eastAsia="Times New Roman" w:cs="Times New Roman"/>
        </w:rPr>
        <w:t>Healthcare associated SABs associated with public hospitals are an Australian National Healthcare Agreement performance indicator (</w:t>
      </w:r>
      <w:r w:rsidR="00C46968">
        <w:rPr>
          <w:rFonts w:eastAsia="Times New Roman" w:cs="Times New Roman"/>
        </w:rPr>
        <w:t>AIHW 2015</w:t>
      </w:r>
      <w:r>
        <w:rPr>
          <w:rFonts w:eastAsia="Times New Roman" w:cs="Times New Roman"/>
        </w:rPr>
        <w:t xml:space="preserve">). All Tasmanian hospitals provide </w:t>
      </w:r>
      <w:r w:rsidR="007A1FDE">
        <w:rPr>
          <w:rFonts w:eastAsia="Times New Roman" w:cs="Times New Roman"/>
        </w:rPr>
        <w:t xml:space="preserve">HCA </w:t>
      </w:r>
      <w:r>
        <w:rPr>
          <w:rFonts w:eastAsia="Times New Roman" w:cs="Times New Roman"/>
        </w:rPr>
        <w:t>SAB data annually to the A</w:t>
      </w:r>
      <w:r w:rsidR="004D53EA">
        <w:rPr>
          <w:rFonts w:eastAsia="Times New Roman" w:cs="Times New Roman"/>
        </w:rPr>
        <w:t xml:space="preserve">ustralian Institute of </w:t>
      </w:r>
      <w:r>
        <w:rPr>
          <w:rFonts w:eastAsia="Times New Roman" w:cs="Times New Roman"/>
        </w:rPr>
        <w:t>H</w:t>
      </w:r>
      <w:r w:rsidR="004D53EA">
        <w:rPr>
          <w:rFonts w:eastAsia="Times New Roman" w:cs="Times New Roman"/>
        </w:rPr>
        <w:t xml:space="preserve">ealth and </w:t>
      </w:r>
      <w:r>
        <w:rPr>
          <w:rFonts w:eastAsia="Times New Roman" w:cs="Times New Roman"/>
        </w:rPr>
        <w:t>W</w:t>
      </w:r>
      <w:r w:rsidR="004D53EA">
        <w:rPr>
          <w:rFonts w:eastAsia="Times New Roman" w:cs="Times New Roman"/>
        </w:rPr>
        <w:t xml:space="preserve">elfare (AIHW) </w:t>
      </w:r>
      <w:r w:rsidR="00C46968">
        <w:rPr>
          <w:rFonts w:eastAsia="Times New Roman" w:cs="Times New Roman"/>
        </w:rPr>
        <w:t xml:space="preserve">who publish aggregated </w:t>
      </w:r>
      <w:r>
        <w:rPr>
          <w:rFonts w:eastAsia="Times New Roman" w:cs="Times New Roman"/>
        </w:rPr>
        <w:t>State and Territory data</w:t>
      </w:r>
      <w:r w:rsidR="00C46968">
        <w:rPr>
          <w:rFonts w:eastAsia="Times New Roman" w:cs="Times New Roman"/>
        </w:rPr>
        <w:t xml:space="preserve"> (AIHW</w:t>
      </w:r>
      <w:r>
        <w:rPr>
          <w:rFonts w:eastAsia="Times New Roman" w:cs="Times New Roman"/>
        </w:rPr>
        <w:t xml:space="preserve"> </w:t>
      </w:r>
      <w:r w:rsidR="00C46968">
        <w:rPr>
          <w:rFonts w:eastAsia="Times New Roman" w:cs="Times New Roman"/>
        </w:rPr>
        <w:t>2019)</w:t>
      </w:r>
      <w:r w:rsidR="004D53EA">
        <w:rPr>
          <w:rFonts w:eastAsia="Times New Roman" w:cs="Times New Roman"/>
        </w:rPr>
        <w:t xml:space="preserve"> and i</w:t>
      </w:r>
      <w:r w:rsidR="007A1FDE">
        <w:rPr>
          <w:rFonts w:eastAsia="Times New Roman" w:cs="Times New Roman"/>
        </w:rPr>
        <w:t xml:space="preserve">ndividual hospital data </w:t>
      </w:r>
      <w:r>
        <w:rPr>
          <w:rFonts w:eastAsia="Times New Roman" w:cs="Times New Roman"/>
        </w:rPr>
        <w:t xml:space="preserve">published on the </w:t>
      </w:r>
      <w:proofErr w:type="spellStart"/>
      <w:r>
        <w:rPr>
          <w:rFonts w:eastAsia="Times New Roman" w:cs="Times New Roman"/>
        </w:rPr>
        <w:t>MyHospitals</w:t>
      </w:r>
      <w:proofErr w:type="spellEnd"/>
      <w:r>
        <w:rPr>
          <w:rFonts w:eastAsia="Times New Roman" w:cs="Times New Roman"/>
        </w:rPr>
        <w:t xml:space="preserve"> website</w:t>
      </w:r>
      <w:r w:rsidR="007A1FDE">
        <w:rPr>
          <w:rFonts w:eastAsia="Times New Roman" w:cs="Times New Roman"/>
        </w:rPr>
        <w:t xml:space="preserve"> (</w:t>
      </w:r>
      <w:r w:rsidR="00C46968">
        <w:rPr>
          <w:rFonts w:eastAsia="Times New Roman" w:cs="Times New Roman"/>
        </w:rPr>
        <w:t xml:space="preserve">AIHW 2019). </w:t>
      </w:r>
      <w:r w:rsidR="007A1FDE">
        <w:rPr>
          <w:rFonts w:eastAsia="Times New Roman" w:cs="Times New Roman"/>
        </w:rPr>
        <w:t xml:space="preserve">Data on </w:t>
      </w:r>
      <w:proofErr w:type="spellStart"/>
      <w:r w:rsidR="007A1FDE">
        <w:rPr>
          <w:rFonts w:eastAsia="Times New Roman" w:cs="Times New Roman"/>
        </w:rPr>
        <w:t>MyHospitals</w:t>
      </w:r>
      <w:proofErr w:type="spellEnd"/>
      <w:r w:rsidR="007A1FDE">
        <w:rPr>
          <w:rFonts w:eastAsia="Times New Roman" w:cs="Times New Roman"/>
        </w:rPr>
        <w:t xml:space="preserve"> allow for rate comparisons to be made </w:t>
      </w:r>
      <w:r w:rsidR="005819F6">
        <w:rPr>
          <w:rFonts w:eastAsia="Times New Roman" w:cs="Times New Roman"/>
        </w:rPr>
        <w:t xml:space="preserve">between </w:t>
      </w:r>
      <w:r w:rsidR="007A1FDE">
        <w:rPr>
          <w:rFonts w:eastAsia="Times New Roman" w:cs="Times New Roman"/>
        </w:rPr>
        <w:t>a</w:t>
      </w:r>
      <w:r w:rsidR="005819F6">
        <w:rPr>
          <w:rFonts w:eastAsia="Times New Roman" w:cs="Times New Roman"/>
        </w:rPr>
        <w:t>n individual</w:t>
      </w:r>
      <w:r w:rsidR="007A1FDE">
        <w:rPr>
          <w:rFonts w:eastAsia="Times New Roman" w:cs="Times New Roman"/>
        </w:rPr>
        <w:t xml:space="preserve"> hospital </w:t>
      </w:r>
      <w:r w:rsidR="005819F6">
        <w:rPr>
          <w:rFonts w:eastAsia="Times New Roman" w:cs="Times New Roman"/>
        </w:rPr>
        <w:t xml:space="preserve">and its </w:t>
      </w:r>
      <w:r w:rsidR="007A1FDE">
        <w:rPr>
          <w:rFonts w:eastAsia="Times New Roman" w:cs="Times New Roman"/>
        </w:rPr>
        <w:t xml:space="preserve">peer group. </w:t>
      </w:r>
    </w:p>
    <w:p w:rsidR="00C21C3F" w:rsidRPr="00D81AD9" w:rsidRDefault="00C21C3F" w:rsidP="00C21C3F">
      <w:pPr>
        <w:spacing w:afterLines="0"/>
      </w:pPr>
      <w:bookmarkStart w:id="88" w:name="_Hlk12356209"/>
      <w:r w:rsidRPr="00D81AD9">
        <w:t xml:space="preserve">The peer groups that are relevant to </w:t>
      </w:r>
      <w:r>
        <w:t>this report are</w:t>
      </w:r>
      <w:r w:rsidRPr="00D81AD9">
        <w:t>:</w:t>
      </w:r>
    </w:p>
    <w:p w:rsidR="00C21C3F" w:rsidRPr="00D81AD9" w:rsidRDefault="00C21C3F" w:rsidP="00C21C3F">
      <w:pPr>
        <w:pStyle w:val="ListParagraph"/>
        <w:numPr>
          <w:ilvl w:val="0"/>
          <w:numId w:val="36"/>
        </w:numPr>
        <w:spacing w:afterLines="0"/>
        <w:ind w:left="567" w:hanging="567"/>
        <w:contextualSpacing w:val="0"/>
        <w:rPr>
          <w:rFonts w:eastAsia="Times New Roman" w:cs="Times New Roman"/>
          <w:lang w:eastAsia="en-AU"/>
        </w:rPr>
      </w:pPr>
      <w:r w:rsidRPr="00D81AD9">
        <w:rPr>
          <w:rFonts w:eastAsia="Times New Roman" w:cs="Times New Roman"/>
          <w:iCs/>
          <w:lang w:eastAsia="en-AU"/>
        </w:rPr>
        <w:t>Principal referral hospitals</w:t>
      </w:r>
      <w:r w:rsidRPr="00D81AD9">
        <w:rPr>
          <w:rFonts w:eastAsia="Times New Roman" w:cs="Times New Roman"/>
          <w:lang w:eastAsia="en-AU"/>
        </w:rPr>
        <w:t xml:space="preserve"> (‘Major hospitals’ on </w:t>
      </w:r>
      <w:hyperlink r:id="rId22" w:tgtFrame="_blank" w:history="1">
        <w:proofErr w:type="spellStart"/>
        <w:r w:rsidRPr="00D81AD9">
          <w:rPr>
            <w:rFonts w:eastAsia="Times New Roman" w:cs="Times New Roman"/>
            <w:u w:val="single"/>
            <w:bdr w:val="none" w:sz="0" w:space="0" w:color="auto" w:frame="1"/>
            <w:lang w:eastAsia="en-AU"/>
          </w:rPr>
          <w:t>MyHospitals</w:t>
        </w:r>
        <w:proofErr w:type="spellEnd"/>
      </w:hyperlink>
      <w:r w:rsidR="00E01C83">
        <w:rPr>
          <w:rFonts w:eastAsia="Times New Roman" w:cs="Times New Roman"/>
          <w:u w:val="single"/>
          <w:bdr w:val="none" w:sz="0" w:space="0" w:color="auto" w:frame="1"/>
          <w:lang w:eastAsia="en-AU"/>
        </w:rPr>
        <w:t>)</w:t>
      </w:r>
      <w:r w:rsidRPr="00D81AD9">
        <w:rPr>
          <w:rFonts w:eastAsia="Times New Roman" w:cs="Times New Roman"/>
          <w:lang w:eastAsia="en-AU"/>
        </w:rPr>
        <w:t xml:space="preserve"> - Royal Hobart Hospital (RHH). </w:t>
      </w:r>
    </w:p>
    <w:p w:rsidR="00C21C3F" w:rsidRPr="00D81AD9" w:rsidRDefault="00C21C3F" w:rsidP="00C21C3F">
      <w:pPr>
        <w:pStyle w:val="ListParagraph"/>
        <w:numPr>
          <w:ilvl w:val="0"/>
          <w:numId w:val="36"/>
        </w:numPr>
        <w:spacing w:afterLines="0"/>
        <w:ind w:left="567" w:hanging="567"/>
        <w:contextualSpacing w:val="0"/>
        <w:rPr>
          <w:rFonts w:eastAsia="Times New Roman" w:cs="Times New Roman"/>
          <w:lang w:eastAsia="en-AU"/>
        </w:rPr>
      </w:pPr>
      <w:r w:rsidRPr="00D81AD9">
        <w:rPr>
          <w:rFonts w:eastAsia="Times New Roman" w:cs="Times New Roman"/>
          <w:iCs/>
          <w:lang w:eastAsia="en-AU"/>
        </w:rPr>
        <w:t>Public acute group A hospitals</w:t>
      </w:r>
      <w:r w:rsidRPr="00D81AD9">
        <w:rPr>
          <w:rFonts w:eastAsia="Times New Roman" w:cs="Times New Roman"/>
          <w:lang w:eastAsia="en-AU"/>
        </w:rPr>
        <w:t xml:space="preserve"> (‘Large hospitals’ on </w:t>
      </w:r>
      <w:hyperlink r:id="rId23" w:tgtFrame="_blank" w:history="1">
        <w:proofErr w:type="spellStart"/>
        <w:r w:rsidRPr="00D81AD9">
          <w:rPr>
            <w:rFonts w:eastAsia="Times New Roman" w:cs="Times New Roman"/>
            <w:u w:val="single"/>
            <w:bdr w:val="none" w:sz="0" w:space="0" w:color="auto" w:frame="1"/>
            <w:lang w:eastAsia="en-AU"/>
          </w:rPr>
          <w:t>MyHospitals</w:t>
        </w:r>
        <w:proofErr w:type="spellEnd"/>
      </w:hyperlink>
      <w:r w:rsidRPr="00D81AD9">
        <w:rPr>
          <w:rFonts w:eastAsia="Times New Roman" w:cs="Times New Roman"/>
          <w:lang w:eastAsia="en-AU"/>
        </w:rPr>
        <w:t xml:space="preserve">) - Launceston General Hospital (LGH) and North West Regional Hospital (NWRH). </w:t>
      </w:r>
    </w:p>
    <w:p w:rsidR="00105081" w:rsidRPr="00C21C3F" w:rsidRDefault="00C21C3F" w:rsidP="00C21C3F">
      <w:pPr>
        <w:pStyle w:val="ListParagraph"/>
        <w:numPr>
          <w:ilvl w:val="0"/>
          <w:numId w:val="36"/>
        </w:numPr>
        <w:spacing w:afterLines="0"/>
        <w:ind w:left="567" w:hanging="567"/>
        <w:contextualSpacing w:val="0"/>
        <w:rPr>
          <w:rFonts w:eastAsia="Times New Roman" w:cs="Times New Roman"/>
          <w:lang w:eastAsia="en-AU"/>
        </w:rPr>
      </w:pPr>
      <w:r w:rsidRPr="00D81AD9">
        <w:rPr>
          <w:rFonts w:eastAsia="Times New Roman" w:cs="Times New Roman"/>
          <w:iCs/>
          <w:lang w:eastAsia="en-AU"/>
        </w:rPr>
        <w:t>Public acute group B hospitals</w:t>
      </w:r>
      <w:r w:rsidRPr="00D81AD9">
        <w:rPr>
          <w:rFonts w:eastAsia="Times New Roman" w:cs="Times New Roman"/>
          <w:lang w:eastAsia="en-AU"/>
        </w:rPr>
        <w:t xml:space="preserve"> (‘Medium hospitals’ on </w:t>
      </w:r>
      <w:hyperlink r:id="rId24" w:tgtFrame="_blank" w:history="1">
        <w:proofErr w:type="spellStart"/>
        <w:r w:rsidRPr="00D81AD9">
          <w:rPr>
            <w:rFonts w:eastAsia="Times New Roman" w:cs="Times New Roman"/>
            <w:u w:val="single"/>
            <w:bdr w:val="none" w:sz="0" w:space="0" w:color="auto" w:frame="1"/>
            <w:lang w:eastAsia="en-AU"/>
          </w:rPr>
          <w:t>MyHospitals</w:t>
        </w:r>
        <w:proofErr w:type="spellEnd"/>
      </w:hyperlink>
      <w:r w:rsidRPr="00D81AD9">
        <w:rPr>
          <w:rFonts w:eastAsia="Times New Roman" w:cs="Times New Roman"/>
          <w:lang w:eastAsia="en-AU"/>
        </w:rPr>
        <w:t>) - Mersey Community Hospital (MCH).</w:t>
      </w:r>
    </w:p>
    <w:bookmarkEnd w:id="88"/>
    <w:p w:rsidR="00105081" w:rsidRDefault="00C21C3F" w:rsidP="007F067A">
      <w:pPr>
        <w:tabs>
          <w:tab w:val="left" w:pos="567"/>
        </w:tabs>
        <w:spacing w:afterLines="0"/>
        <w:rPr>
          <w:rFonts w:eastAsia="Times New Roman" w:cs="Times New Roman"/>
        </w:rPr>
      </w:pPr>
      <w:r>
        <w:rPr>
          <w:rFonts w:eastAsia="Times New Roman" w:cs="Times New Roman"/>
        </w:rPr>
        <w:t xml:space="preserve">The following graphs use financial year HCA SAB data sourced from the </w:t>
      </w:r>
      <w:proofErr w:type="spellStart"/>
      <w:r>
        <w:rPr>
          <w:rFonts w:eastAsia="Times New Roman" w:cs="Times New Roman"/>
        </w:rPr>
        <w:t>MyHospitals</w:t>
      </w:r>
      <w:proofErr w:type="spellEnd"/>
      <w:r>
        <w:rPr>
          <w:rFonts w:eastAsia="Times New Roman" w:cs="Times New Roman"/>
        </w:rPr>
        <w:t xml:space="preserve"> website</w:t>
      </w:r>
      <w:r w:rsidR="007E7D00">
        <w:rPr>
          <w:rFonts w:eastAsia="Times New Roman" w:cs="Times New Roman"/>
        </w:rPr>
        <w:t>.</w:t>
      </w:r>
    </w:p>
    <w:p w:rsidR="007E7D00" w:rsidRDefault="007E7D00" w:rsidP="007E7D00">
      <w:pPr>
        <w:pStyle w:val="Caption"/>
        <w:rPr>
          <w:b w:val="0"/>
          <w:sz w:val="22"/>
          <w:szCs w:val="22"/>
        </w:rPr>
      </w:pPr>
      <w:bookmarkStart w:id="89" w:name="_Ref8287254"/>
      <w:bookmarkStart w:id="90" w:name="_Toc11392032"/>
      <w:bookmarkStart w:id="91" w:name="_Toc11392386"/>
      <w:bookmarkStart w:id="92" w:name="_Toc12540719"/>
      <w:r w:rsidRPr="007E7D00">
        <w:rPr>
          <w:sz w:val="22"/>
          <w:szCs w:val="22"/>
        </w:rPr>
        <w:t xml:space="preserve">Figure </w:t>
      </w:r>
      <w:r w:rsidRPr="007E7D00">
        <w:rPr>
          <w:sz w:val="22"/>
          <w:szCs w:val="22"/>
        </w:rPr>
        <w:fldChar w:fldCharType="begin"/>
      </w:r>
      <w:r w:rsidRPr="007E7D00">
        <w:rPr>
          <w:sz w:val="22"/>
          <w:szCs w:val="22"/>
        </w:rPr>
        <w:instrText xml:space="preserve"> SEQ Figure \* ARABIC </w:instrText>
      </w:r>
      <w:r w:rsidRPr="007E7D00">
        <w:rPr>
          <w:sz w:val="22"/>
          <w:szCs w:val="22"/>
        </w:rPr>
        <w:fldChar w:fldCharType="separate"/>
      </w:r>
      <w:r w:rsidR="00EA0ED7">
        <w:rPr>
          <w:noProof/>
          <w:sz w:val="22"/>
          <w:szCs w:val="22"/>
        </w:rPr>
        <w:t>8</w:t>
      </w:r>
      <w:r w:rsidRPr="007E7D00">
        <w:rPr>
          <w:sz w:val="22"/>
          <w:szCs w:val="22"/>
        </w:rPr>
        <w:fldChar w:fldCharType="end"/>
      </w:r>
      <w:bookmarkEnd w:id="89"/>
      <w:r w:rsidRPr="007E7D00">
        <w:rPr>
          <w:sz w:val="22"/>
          <w:szCs w:val="22"/>
        </w:rPr>
        <w:t xml:space="preserve"> </w:t>
      </w:r>
      <w:r w:rsidRPr="007E7D00">
        <w:rPr>
          <w:b w:val="0"/>
          <w:sz w:val="22"/>
          <w:szCs w:val="22"/>
        </w:rPr>
        <w:t xml:space="preserve">HCA SAB - State and Territory combined public hospital </w:t>
      </w:r>
      <w:r w:rsidR="00031053">
        <w:rPr>
          <w:b w:val="0"/>
          <w:sz w:val="22"/>
          <w:szCs w:val="22"/>
        </w:rPr>
        <w:t>rates</w:t>
      </w:r>
      <w:bookmarkEnd w:id="90"/>
      <w:bookmarkEnd w:id="91"/>
      <w:bookmarkEnd w:id="92"/>
    </w:p>
    <w:p w:rsidR="007E7D00" w:rsidRPr="00645A25" w:rsidRDefault="00FC36F8" w:rsidP="00645A25">
      <w:pPr>
        <w:spacing w:after="336"/>
      </w:pPr>
      <w:r>
        <w:rPr>
          <w:noProof/>
          <w:lang w:eastAsia="en-AU"/>
        </w:rPr>
        <w:drawing>
          <wp:inline distT="0" distB="0" distL="0" distR="0" wp14:anchorId="16496A4B" wp14:editId="197F79FE">
            <wp:extent cx="5783580" cy="3246120"/>
            <wp:effectExtent l="0" t="0" r="7620" b="0"/>
            <wp:docPr id="6" name="Picture 6" descr="Figure 8 HCA SAB - State and Territory combined public hospital rates&#10;Text description provided below 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3580" cy="3246120"/>
                    </a:xfrm>
                    <a:prstGeom prst="rect">
                      <a:avLst/>
                    </a:prstGeom>
                    <a:noFill/>
                  </pic:spPr>
                </pic:pic>
              </a:graphicData>
            </a:graphic>
          </wp:inline>
        </w:drawing>
      </w:r>
    </w:p>
    <w:p w:rsidR="00884902" w:rsidRDefault="009B4BEA" w:rsidP="007F067A">
      <w:pPr>
        <w:tabs>
          <w:tab w:val="left" w:pos="567"/>
        </w:tabs>
        <w:spacing w:afterLines="0"/>
        <w:rPr>
          <w:rFonts w:eastAsia="Times New Roman" w:cs="Times New Roman"/>
        </w:rPr>
      </w:pPr>
      <w:r>
        <w:rPr>
          <w:rFonts w:eastAsia="Times New Roman" w:cs="Times New Roman"/>
        </w:rPr>
        <w:t xml:space="preserve">There has been a </w:t>
      </w:r>
      <w:r w:rsidR="007E7D00">
        <w:rPr>
          <w:rFonts w:eastAsia="Times New Roman" w:cs="Times New Roman"/>
        </w:rPr>
        <w:t>decreas</w:t>
      </w:r>
      <w:r w:rsidR="00031053">
        <w:rPr>
          <w:rFonts w:eastAsia="Times New Roman" w:cs="Times New Roman"/>
        </w:rPr>
        <w:t xml:space="preserve">e in </w:t>
      </w:r>
      <w:r w:rsidR="007E7D00">
        <w:rPr>
          <w:rFonts w:eastAsia="Times New Roman" w:cs="Times New Roman"/>
        </w:rPr>
        <w:t>rates of HCA SAB across all States and Territories since 2010</w:t>
      </w:r>
      <w:r w:rsidR="00031053">
        <w:rPr>
          <w:rFonts w:eastAsia="Times New Roman" w:cs="Times New Roman"/>
        </w:rPr>
        <w:t>-</w:t>
      </w:r>
      <w:r w:rsidR="007E7D00">
        <w:rPr>
          <w:rFonts w:eastAsia="Times New Roman" w:cs="Times New Roman"/>
        </w:rPr>
        <w:t>11</w:t>
      </w:r>
      <w:r w:rsidR="00031053">
        <w:rPr>
          <w:rFonts w:eastAsia="Times New Roman" w:cs="Times New Roman"/>
        </w:rPr>
        <w:t xml:space="preserve"> with Tasmania decreasing from 1.2 HCA SAB per 10 000 patient days in 2010-11 to 0.8 cases per 10 000 patient days in 2017-18.  One factor that has </w:t>
      </w:r>
      <w:r w:rsidR="004D53EA">
        <w:rPr>
          <w:rFonts w:eastAsia="Times New Roman" w:cs="Times New Roman"/>
        </w:rPr>
        <w:t xml:space="preserve">contributed to </w:t>
      </w:r>
      <w:r w:rsidR="00031053">
        <w:rPr>
          <w:rFonts w:eastAsia="Times New Roman" w:cs="Times New Roman"/>
        </w:rPr>
        <w:t>this decrease is improved hand hygiene in healthcare</w:t>
      </w:r>
      <w:r w:rsidR="00A30084">
        <w:rPr>
          <w:rFonts w:eastAsia="Times New Roman" w:cs="Times New Roman"/>
        </w:rPr>
        <w:t xml:space="preserve"> following the implementation of the National Hand Hygiene Initiative</w:t>
      </w:r>
      <w:r w:rsidR="00031053">
        <w:rPr>
          <w:rFonts w:eastAsia="Times New Roman" w:cs="Times New Roman"/>
        </w:rPr>
        <w:t xml:space="preserve">. </w:t>
      </w:r>
    </w:p>
    <w:p w:rsidR="00884902" w:rsidRDefault="00884902">
      <w:pPr>
        <w:spacing w:after="336"/>
        <w:rPr>
          <w:rFonts w:eastAsia="Times New Roman" w:cs="Times New Roman"/>
        </w:rPr>
      </w:pPr>
      <w:r>
        <w:rPr>
          <w:rFonts w:eastAsia="Times New Roman" w:cs="Times New Roman"/>
        </w:rPr>
        <w:br w:type="page"/>
      </w:r>
    </w:p>
    <w:p w:rsidR="007E7D00" w:rsidRDefault="007E7D00" w:rsidP="007F067A">
      <w:pPr>
        <w:tabs>
          <w:tab w:val="left" w:pos="567"/>
        </w:tabs>
        <w:spacing w:afterLines="0"/>
        <w:rPr>
          <w:rFonts w:eastAsia="Times New Roman" w:cs="Times New Roman"/>
        </w:rPr>
      </w:pPr>
    </w:p>
    <w:p w:rsidR="00031053" w:rsidRDefault="009B4BEA" w:rsidP="007F067A">
      <w:pPr>
        <w:tabs>
          <w:tab w:val="left" w:pos="567"/>
        </w:tabs>
        <w:spacing w:afterLines="0"/>
        <w:rPr>
          <w:rFonts w:eastAsia="Times New Roman" w:cs="Times New Roman"/>
        </w:rPr>
      </w:pPr>
      <w:r>
        <w:rPr>
          <w:rFonts w:eastAsia="Times New Roman" w:cs="Times New Roman"/>
        </w:rPr>
        <w:t>Figure</w:t>
      </w:r>
      <w:r w:rsidR="009E764B">
        <w:rPr>
          <w:rFonts w:eastAsia="Times New Roman" w:cs="Times New Roman"/>
        </w:rPr>
        <w:t xml:space="preserve">s 9 </w:t>
      </w:r>
      <w:r>
        <w:rPr>
          <w:rFonts w:eastAsia="Times New Roman" w:cs="Times New Roman"/>
        </w:rPr>
        <w:t>– 1</w:t>
      </w:r>
      <w:r w:rsidR="009E764B">
        <w:rPr>
          <w:rFonts w:eastAsia="Times New Roman" w:cs="Times New Roman"/>
        </w:rPr>
        <w:t>2</w:t>
      </w:r>
      <w:r>
        <w:rPr>
          <w:rFonts w:eastAsia="Times New Roman" w:cs="Times New Roman"/>
        </w:rPr>
        <w:t xml:space="preserve"> </w:t>
      </w:r>
      <w:r w:rsidR="00031053">
        <w:rPr>
          <w:rFonts w:eastAsia="Times New Roman" w:cs="Times New Roman"/>
        </w:rPr>
        <w:t xml:space="preserve">illustrate the individual public hospitals HCA SAB rates compared with their peer group.  </w:t>
      </w:r>
    </w:p>
    <w:p w:rsidR="00105081" w:rsidRDefault="007F067A" w:rsidP="007F067A">
      <w:pPr>
        <w:pStyle w:val="Caption"/>
        <w:rPr>
          <w:b w:val="0"/>
          <w:sz w:val="22"/>
          <w:szCs w:val="22"/>
        </w:rPr>
      </w:pPr>
      <w:bookmarkStart w:id="93" w:name="_Toc11392033"/>
      <w:bookmarkStart w:id="94" w:name="_Toc11392387"/>
      <w:bookmarkStart w:id="95" w:name="_Toc12540720"/>
      <w:r w:rsidRPr="007F067A">
        <w:rPr>
          <w:sz w:val="22"/>
          <w:szCs w:val="22"/>
        </w:rPr>
        <w:t xml:space="preserve">Figure </w:t>
      </w:r>
      <w:r w:rsidRPr="007F067A">
        <w:rPr>
          <w:sz w:val="22"/>
          <w:szCs w:val="22"/>
        </w:rPr>
        <w:fldChar w:fldCharType="begin"/>
      </w:r>
      <w:r w:rsidRPr="007F067A">
        <w:rPr>
          <w:sz w:val="22"/>
          <w:szCs w:val="22"/>
        </w:rPr>
        <w:instrText xml:space="preserve"> SEQ Figure \* ARABIC </w:instrText>
      </w:r>
      <w:r w:rsidRPr="007F067A">
        <w:rPr>
          <w:sz w:val="22"/>
          <w:szCs w:val="22"/>
        </w:rPr>
        <w:fldChar w:fldCharType="separate"/>
      </w:r>
      <w:r w:rsidR="00EA0ED7">
        <w:rPr>
          <w:noProof/>
          <w:sz w:val="22"/>
          <w:szCs w:val="22"/>
        </w:rPr>
        <w:t>9</w:t>
      </w:r>
      <w:r w:rsidRPr="007F067A">
        <w:rPr>
          <w:sz w:val="22"/>
          <w:szCs w:val="22"/>
        </w:rPr>
        <w:fldChar w:fldCharType="end"/>
      </w:r>
      <w:r w:rsidRPr="007F067A">
        <w:rPr>
          <w:sz w:val="22"/>
          <w:szCs w:val="22"/>
        </w:rPr>
        <w:t xml:space="preserve"> </w:t>
      </w:r>
      <w:r w:rsidR="00022753" w:rsidRPr="007F067A">
        <w:rPr>
          <w:b w:val="0"/>
          <w:sz w:val="22"/>
          <w:szCs w:val="22"/>
        </w:rPr>
        <w:t>Royal Hobart Hospital</w:t>
      </w:r>
      <w:r>
        <w:rPr>
          <w:b w:val="0"/>
          <w:sz w:val="22"/>
          <w:szCs w:val="22"/>
        </w:rPr>
        <w:t xml:space="preserve"> compared with National peer group</w:t>
      </w:r>
      <w:bookmarkEnd w:id="93"/>
      <w:bookmarkEnd w:id="94"/>
      <w:r w:rsidR="00FB5A6D">
        <w:rPr>
          <w:b w:val="0"/>
          <w:sz w:val="22"/>
          <w:szCs w:val="22"/>
        </w:rPr>
        <w:t xml:space="preserve"> (Major Hospitals)</w:t>
      </w:r>
      <w:bookmarkEnd w:id="95"/>
    </w:p>
    <w:p w:rsidR="00C21C3F" w:rsidRPr="00645A25" w:rsidRDefault="00645A25" w:rsidP="00645A25">
      <w:pPr>
        <w:spacing w:after="336"/>
      </w:pPr>
      <w:r>
        <w:rPr>
          <w:noProof/>
          <w:lang w:eastAsia="en-AU"/>
        </w:rPr>
        <w:drawing>
          <wp:inline distT="0" distB="0" distL="0" distR="0" wp14:anchorId="4A77C855" wp14:editId="704D5485">
            <wp:extent cx="5768340" cy="3246120"/>
            <wp:effectExtent l="0" t="0" r="3810" b="0"/>
            <wp:docPr id="24" name="Picture 24" descr="Figure 9 Royal Hobart Hospital compared with Major Hospitals  peer group rate&#10;Text description provided below 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8340" cy="3246120"/>
                    </a:xfrm>
                    <a:prstGeom prst="rect">
                      <a:avLst/>
                    </a:prstGeom>
                    <a:noFill/>
                  </pic:spPr>
                </pic:pic>
              </a:graphicData>
            </a:graphic>
          </wp:inline>
        </w:drawing>
      </w:r>
    </w:p>
    <w:p w:rsidR="00022753" w:rsidRDefault="007F067A" w:rsidP="007F067A">
      <w:pPr>
        <w:pStyle w:val="Caption"/>
        <w:rPr>
          <w:b w:val="0"/>
          <w:sz w:val="22"/>
          <w:szCs w:val="22"/>
        </w:rPr>
      </w:pPr>
      <w:bookmarkStart w:id="96" w:name="_Toc11392034"/>
      <w:bookmarkStart w:id="97" w:name="_Toc11392388"/>
      <w:bookmarkStart w:id="98" w:name="_Toc12540721"/>
      <w:r w:rsidRPr="007F067A">
        <w:rPr>
          <w:sz w:val="22"/>
          <w:szCs w:val="22"/>
        </w:rPr>
        <w:t xml:space="preserve">Figure </w:t>
      </w:r>
      <w:r w:rsidRPr="007F067A">
        <w:rPr>
          <w:sz w:val="22"/>
          <w:szCs w:val="22"/>
        </w:rPr>
        <w:fldChar w:fldCharType="begin"/>
      </w:r>
      <w:r w:rsidRPr="007F067A">
        <w:rPr>
          <w:sz w:val="22"/>
          <w:szCs w:val="22"/>
        </w:rPr>
        <w:instrText xml:space="preserve"> SEQ Figure \* ARABIC </w:instrText>
      </w:r>
      <w:r w:rsidRPr="007F067A">
        <w:rPr>
          <w:sz w:val="22"/>
          <w:szCs w:val="22"/>
        </w:rPr>
        <w:fldChar w:fldCharType="separate"/>
      </w:r>
      <w:r w:rsidR="00EA0ED7">
        <w:rPr>
          <w:noProof/>
          <w:sz w:val="22"/>
          <w:szCs w:val="22"/>
        </w:rPr>
        <w:t>10</w:t>
      </w:r>
      <w:r w:rsidRPr="007F067A">
        <w:rPr>
          <w:sz w:val="22"/>
          <w:szCs w:val="22"/>
        </w:rPr>
        <w:fldChar w:fldCharType="end"/>
      </w:r>
      <w:r w:rsidRPr="007F067A">
        <w:rPr>
          <w:b w:val="0"/>
          <w:sz w:val="22"/>
          <w:szCs w:val="22"/>
        </w:rPr>
        <w:t xml:space="preserve"> </w:t>
      </w:r>
      <w:r w:rsidR="00022753" w:rsidRPr="007F067A">
        <w:rPr>
          <w:b w:val="0"/>
          <w:sz w:val="22"/>
          <w:szCs w:val="22"/>
        </w:rPr>
        <w:t>Launceston General Hospital</w:t>
      </w:r>
      <w:r w:rsidRPr="007F067A">
        <w:rPr>
          <w:b w:val="0"/>
          <w:sz w:val="22"/>
          <w:szCs w:val="22"/>
        </w:rPr>
        <w:t xml:space="preserve"> compared with National peer group</w:t>
      </w:r>
      <w:bookmarkEnd w:id="96"/>
      <w:bookmarkEnd w:id="97"/>
      <w:r w:rsidR="00FB5A6D">
        <w:rPr>
          <w:b w:val="0"/>
          <w:sz w:val="22"/>
          <w:szCs w:val="22"/>
        </w:rPr>
        <w:t xml:space="preserve"> (Large Hospitals)</w:t>
      </w:r>
      <w:bookmarkEnd w:id="98"/>
      <w:r w:rsidR="00FB5A6D">
        <w:rPr>
          <w:b w:val="0"/>
          <w:sz w:val="22"/>
          <w:szCs w:val="22"/>
        </w:rPr>
        <w:t xml:space="preserve"> </w:t>
      </w:r>
    </w:p>
    <w:p w:rsidR="00645A25" w:rsidRPr="00645A25" w:rsidRDefault="00645A25" w:rsidP="00645A25">
      <w:pPr>
        <w:spacing w:after="336"/>
      </w:pPr>
      <w:r>
        <w:rPr>
          <w:noProof/>
          <w:lang w:eastAsia="en-AU"/>
        </w:rPr>
        <w:drawing>
          <wp:inline distT="0" distB="0" distL="0" distR="0" wp14:anchorId="61B064E1" wp14:editId="471B019A">
            <wp:extent cx="5760720" cy="3246120"/>
            <wp:effectExtent l="0" t="0" r="0" b="0"/>
            <wp:docPr id="25" name="Picture 25" descr="Figure 10 Launceston General Hospital compared with Large Hospital peer group rate&#10;Text description provided below 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46120"/>
                    </a:xfrm>
                    <a:prstGeom prst="rect">
                      <a:avLst/>
                    </a:prstGeom>
                    <a:noFill/>
                  </pic:spPr>
                </pic:pic>
              </a:graphicData>
            </a:graphic>
          </wp:inline>
        </w:drawing>
      </w:r>
    </w:p>
    <w:p w:rsidR="00884902" w:rsidRDefault="00884902" w:rsidP="00884902">
      <w:pPr>
        <w:tabs>
          <w:tab w:val="left" w:pos="567"/>
        </w:tabs>
        <w:spacing w:afterLines="0"/>
        <w:rPr>
          <w:rFonts w:eastAsia="Times New Roman" w:cs="Times New Roman"/>
        </w:rPr>
      </w:pPr>
    </w:p>
    <w:p w:rsidR="00C46968" w:rsidRPr="00884902" w:rsidRDefault="00884902" w:rsidP="00347423">
      <w:pPr>
        <w:spacing w:after="336"/>
        <w:rPr>
          <w:rFonts w:eastAsia="Times New Roman" w:cs="Times New Roman"/>
        </w:rPr>
      </w:pPr>
      <w:r>
        <w:rPr>
          <w:rFonts w:eastAsia="Times New Roman" w:cs="Times New Roman"/>
        </w:rPr>
        <w:br w:type="page"/>
      </w:r>
    </w:p>
    <w:p w:rsidR="00105081" w:rsidRDefault="007F067A" w:rsidP="007F067A">
      <w:pPr>
        <w:pStyle w:val="Caption"/>
        <w:rPr>
          <w:b w:val="0"/>
          <w:sz w:val="22"/>
          <w:szCs w:val="22"/>
        </w:rPr>
      </w:pPr>
      <w:bookmarkStart w:id="99" w:name="_Toc11392035"/>
      <w:bookmarkStart w:id="100" w:name="_Toc11392389"/>
      <w:bookmarkStart w:id="101" w:name="_Toc12540722"/>
      <w:r w:rsidRPr="007F067A">
        <w:rPr>
          <w:sz w:val="22"/>
          <w:szCs w:val="22"/>
        </w:rPr>
        <w:lastRenderedPageBreak/>
        <w:t xml:space="preserve">Figure </w:t>
      </w:r>
      <w:r w:rsidRPr="007F067A">
        <w:rPr>
          <w:sz w:val="22"/>
          <w:szCs w:val="22"/>
        </w:rPr>
        <w:fldChar w:fldCharType="begin"/>
      </w:r>
      <w:r w:rsidRPr="007F067A">
        <w:rPr>
          <w:sz w:val="22"/>
          <w:szCs w:val="22"/>
        </w:rPr>
        <w:instrText xml:space="preserve"> SEQ Figure \* ARABIC </w:instrText>
      </w:r>
      <w:r w:rsidRPr="007F067A">
        <w:rPr>
          <w:sz w:val="22"/>
          <w:szCs w:val="22"/>
        </w:rPr>
        <w:fldChar w:fldCharType="separate"/>
      </w:r>
      <w:r w:rsidR="00EA0ED7">
        <w:rPr>
          <w:noProof/>
          <w:sz w:val="22"/>
          <w:szCs w:val="22"/>
        </w:rPr>
        <w:t>11</w:t>
      </w:r>
      <w:r w:rsidRPr="007F067A">
        <w:rPr>
          <w:sz w:val="22"/>
          <w:szCs w:val="22"/>
        </w:rPr>
        <w:fldChar w:fldCharType="end"/>
      </w:r>
      <w:r w:rsidRPr="007F067A">
        <w:rPr>
          <w:b w:val="0"/>
          <w:sz w:val="22"/>
          <w:szCs w:val="22"/>
        </w:rPr>
        <w:t xml:space="preserve"> </w:t>
      </w:r>
      <w:r w:rsidR="00022753" w:rsidRPr="007F067A">
        <w:rPr>
          <w:b w:val="0"/>
          <w:sz w:val="22"/>
          <w:szCs w:val="22"/>
        </w:rPr>
        <w:t xml:space="preserve">Mersey Community Hospital </w:t>
      </w:r>
      <w:r w:rsidRPr="007F067A">
        <w:rPr>
          <w:b w:val="0"/>
          <w:sz w:val="22"/>
          <w:szCs w:val="22"/>
        </w:rPr>
        <w:t>compared with National peer group</w:t>
      </w:r>
      <w:bookmarkEnd w:id="99"/>
      <w:bookmarkEnd w:id="100"/>
      <w:r w:rsidR="00347423">
        <w:rPr>
          <w:b w:val="0"/>
          <w:sz w:val="22"/>
          <w:szCs w:val="22"/>
        </w:rPr>
        <w:t xml:space="preserve"> (Medium Hospitals)</w:t>
      </w:r>
      <w:bookmarkEnd w:id="101"/>
    </w:p>
    <w:p w:rsidR="00105081" w:rsidRPr="00645A25" w:rsidRDefault="00645A25" w:rsidP="00645A25">
      <w:pPr>
        <w:spacing w:after="336"/>
      </w:pPr>
      <w:r>
        <w:rPr>
          <w:noProof/>
          <w:lang w:eastAsia="en-AU"/>
        </w:rPr>
        <w:drawing>
          <wp:inline distT="0" distB="0" distL="0" distR="0" wp14:anchorId="72194011" wp14:editId="4DBBC52F">
            <wp:extent cx="5760720" cy="3246120"/>
            <wp:effectExtent l="0" t="0" r="0" b="0"/>
            <wp:docPr id="26" name="Picture 26" descr="Figure 11 Mersey Community Hospital compared with Medium Hospitals  peer group rate&#10;Text description provided below 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46120"/>
                    </a:xfrm>
                    <a:prstGeom prst="rect">
                      <a:avLst/>
                    </a:prstGeom>
                    <a:noFill/>
                  </pic:spPr>
                </pic:pic>
              </a:graphicData>
            </a:graphic>
          </wp:inline>
        </w:drawing>
      </w:r>
    </w:p>
    <w:p w:rsidR="00105081" w:rsidRDefault="007F067A" w:rsidP="007F067A">
      <w:pPr>
        <w:pStyle w:val="Caption"/>
        <w:rPr>
          <w:b w:val="0"/>
          <w:sz w:val="22"/>
          <w:szCs w:val="22"/>
        </w:rPr>
      </w:pPr>
      <w:bookmarkStart w:id="102" w:name="_Toc11392036"/>
      <w:bookmarkStart w:id="103" w:name="_Toc11392390"/>
      <w:bookmarkStart w:id="104" w:name="_Toc12540723"/>
      <w:r w:rsidRPr="007F067A">
        <w:rPr>
          <w:sz w:val="22"/>
          <w:szCs w:val="22"/>
        </w:rPr>
        <w:t xml:space="preserve">Figure </w:t>
      </w:r>
      <w:r w:rsidRPr="007F067A">
        <w:rPr>
          <w:sz w:val="22"/>
          <w:szCs w:val="22"/>
        </w:rPr>
        <w:fldChar w:fldCharType="begin"/>
      </w:r>
      <w:r w:rsidRPr="007F067A">
        <w:rPr>
          <w:sz w:val="22"/>
          <w:szCs w:val="22"/>
        </w:rPr>
        <w:instrText xml:space="preserve"> SEQ Figure \* ARABIC </w:instrText>
      </w:r>
      <w:r w:rsidRPr="007F067A">
        <w:rPr>
          <w:sz w:val="22"/>
          <w:szCs w:val="22"/>
        </w:rPr>
        <w:fldChar w:fldCharType="separate"/>
      </w:r>
      <w:r w:rsidR="00EA0ED7">
        <w:rPr>
          <w:noProof/>
          <w:sz w:val="22"/>
          <w:szCs w:val="22"/>
        </w:rPr>
        <w:t>12</w:t>
      </w:r>
      <w:r w:rsidRPr="007F067A">
        <w:rPr>
          <w:sz w:val="22"/>
          <w:szCs w:val="22"/>
        </w:rPr>
        <w:fldChar w:fldCharType="end"/>
      </w:r>
      <w:r w:rsidRPr="007F067A">
        <w:rPr>
          <w:b w:val="0"/>
          <w:sz w:val="22"/>
          <w:szCs w:val="22"/>
        </w:rPr>
        <w:t xml:space="preserve"> </w:t>
      </w:r>
      <w:r w:rsidR="00022753" w:rsidRPr="007F067A">
        <w:rPr>
          <w:b w:val="0"/>
          <w:sz w:val="22"/>
          <w:szCs w:val="22"/>
        </w:rPr>
        <w:t xml:space="preserve">North West Regional Hospital </w:t>
      </w:r>
      <w:r w:rsidRPr="007F067A">
        <w:rPr>
          <w:b w:val="0"/>
          <w:sz w:val="22"/>
          <w:szCs w:val="22"/>
        </w:rPr>
        <w:t>compared with National peer group</w:t>
      </w:r>
      <w:bookmarkEnd w:id="102"/>
      <w:bookmarkEnd w:id="103"/>
      <w:r w:rsidR="00347423">
        <w:rPr>
          <w:b w:val="0"/>
          <w:sz w:val="22"/>
          <w:szCs w:val="22"/>
        </w:rPr>
        <w:t xml:space="preserve"> (Large Hospitals)</w:t>
      </w:r>
      <w:bookmarkEnd w:id="104"/>
    </w:p>
    <w:p w:rsidR="00FB5A6D" w:rsidRPr="00645A25" w:rsidRDefault="00645A25" w:rsidP="00347423">
      <w:pPr>
        <w:spacing w:after="336"/>
      </w:pPr>
      <w:r>
        <w:rPr>
          <w:noProof/>
          <w:lang w:eastAsia="en-AU"/>
        </w:rPr>
        <w:drawing>
          <wp:inline distT="0" distB="0" distL="0" distR="0" wp14:anchorId="37888367" wp14:editId="0B25CC68">
            <wp:extent cx="5768340" cy="3246120"/>
            <wp:effectExtent l="0" t="0" r="3810" b="0"/>
            <wp:docPr id="27" name="Picture 27" descr="Figure 12 North West Regional Hospital compared with Large Hospitals  peer group rate&#10;Text description provided below Fig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8340" cy="3246120"/>
                    </a:xfrm>
                    <a:prstGeom prst="rect">
                      <a:avLst/>
                    </a:prstGeom>
                    <a:noFill/>
                  </pic:spPr>
                </pic:pic>
              </a:graphicData>
            </a:graphic>
          </wp:inline>
        </w:drawing>
      </w:r>
    </w:p>
    <w:p w:rsidR="00347423" w:rsidRDefault="00031053" w:rsidP="008845E5">
      <w:pPr>
        <w:spacing w:afterLines="0"/>
      </w:pPr>
      <w:r>
        <w:rPr>
          <w:rFonts w:eastAsia="Times New Roman" w:cs="Times New Roman"/>
        </w:rPr>
        <w:t xml:space="preserve">These graphs illustrate that RHH is the only hospital that </w:t>
      </w:r>
      <w:r w:rsidR="0039594A">
        <w:rPr>
          <w:rFonts w:eastAsia="Times New Roman" w:cs="Times New Roman"/>
        </w:rPr>
        <w:t xml:space="preserve">consistently </w:t>
      </w:r>
      <w:r>
        <w:rPr>
          <w:rFonts w:eastAsia="Times New Roman" w:cs="Times New Roman"/>
        </w:rPr>
        <w:t xml:space="preserve">has </w:t>
      </w:r>
      <w:r w:rsidR="009B5215">
        <w:rPr>
          <w:rFonts w:eastAsia="Times New Roman" w:cs="Times New Roman"/>
        </w:rPr>
        <w:t>an</w:t>
      </w:r>
      <w:r>
        <w:rPr>
          <w:rFonts w:eastAsia="Times New Roman" w:cs="Times New Roman"/>
        </w:rPr>
        <w:t xml:space="preserve"> HCA SAB rate less than its peer group average</w:t>
      </w:r>
      <w:r w:rsidR="0039594A">
        <w:rPr>
          <w:rFonts w:eastAsia="Times New Roman" w:cs="Times New Roman"/>
        </w:rPr>
        <w:t xml:space="preserve">. </w:t>
      </w:r>
    </w:p>
    <w:p w:rsidR="00031053" w:rsidRPr="007F067A" w:rsidRDefault="00031053" w:rsidP="008845E5">
      <w:pPr>
        <w:spacing w:afterLines="0"/>
      </w:pPr>
      <w:r>
        <w:rPr>
          <w:rFonts w:eastAsia="Times New Roman" w:cs="Times New Roman"/>
        </w:rPr>
        <w:t>M</w:t>
      </w:r>
      <w:r w:rsidR="0039594A">
        <w:rPr>
          <w:rFonts w:eastAsia="Times New Roman" w:cs="Times New Roman"/>
        </w:rPr>
        <w:t xml:space="preserve">ersey </w:t>
      </w:r>
      <w:r>
        <w:rPr>
          <w:rFonts w:eastAsia="Times New Roman" w:cs="Times New Roman"/>
        </w:rPr>
        <w:t>C</w:t>
      </w:r>
      <w:r w:rsidR="0039594A">
        <w:rPr>
          <w:rFonts w:eastAsia="Times New Roman" w:cs="Times New Roman"/>
        </w:rPr>
        <w:t xml:space="preserve">ommunity </w:t>
      </w:r>
      <w:r>
        <w:rPr>
          <w:rFonts w:eastAsia="Times New Roman" w:cs="Times New Roman"/>
        </w:rPr>
        <w:t>H</w:t>
      </w:r>
      <w:r w:rsidR="0039594A">
        <w:rPr>
          <w:rFonts w:eastAsia="Times New Roman" w:cs="Times New Roman"/>
        </w:rPr>
        <w:t xml:space="preserve">ospital (MCH) </w:t>
      </w:r>
      <w:r>
        <w:rPr>
          <w:rFonts w:eastAsia="Times New Roman" w:cs="Times New Roman"/>
        </w:rPr>
        <w:t xml:space="preserve">has had HCA SAB rates much higher than its peer group average from </w:t>
      </w:r>
      <w:r w:rsidR="0039594A">
        <w:rPr>
          <w:rFonts w:eastAsia="Times New Roman" w:cs="Times New Roman"/>
        </w:rPr>
        <w:t xml:space="preserve">July </w:t>
      </w:r>
      <w:r>
        <w:rPr>
          <w:rFonts w:eastAsia="Times New Roman" w:cs="Times New Roman"/>
        </w:rPr>
        <w:t>2013</w:t>
      </w:r>
      <w:r w:rsidR="0039594A">
        <w:rPr>
          <w:rFonts w:eastAsia="Times New Roman" w:cs="Times New Roman"/>
        </w:rPr>
        <w:t xml:space="preserve"> </w:t>
      </w:r>
      <w:r w:rsidR="004D53EA">
        <w:rPr>
          <w:rFonts w:eastAsia="Times New Roman" w:cs="Times New Roman"/>
        </w:rPr>
        <w:t>to</w:t>
      </w:r>
      <w:r w:rsidR="0039594A">
        <w:rPr>
          <w:rFonts w:eastAsia="Times New Roman" w:cs="Times New Roman"/>
        </w:rPr>
        <w:t xml:space="preserve"> June 2017</w:t>
      </w:r>
      <w:r>
        <w:rPr>
          <w:rFonts w:eastAsia="Times New Roman" w:cs="Times New Roman"/>
        </w:rPr>
        <w:t xml:space="preserve">. In response, MCH </w:t>
      </w:r>
      <w:r w:rsidRPr="00D8432C">
        <w:rPr>
          <w:rFonts w:cs="Gill Sans MT"/>
          <w:color w:val="000000"/>
        </w:rPr>
        <w:t xml:space="preserve">implemented a </w:t>
      </w:r>
      <w:r w:rsidR="008E2A27">
        <w:rPr>
          <w:rFonts w:cs="Gill Sans MT"/>
          <w:color w:val="000000"/>
        </w:rPr>
        <w:t xml:space="preserve">range </w:t>
      </w:r>
      <w:r w:rsidRPr="00D8432C">
        <w:rPr>
          <w:rFonts w:cs="Gill Sans MT"/>
          <w:color w:val="000000"/>
        </w:rPr>
        <w:t xml:space="preserve">of strategies </w:t>
      </w:r>
      <w:r w:rsidR="008E2A27">
        <w:rPr>
          <w:rFonts w:cs="Gill Sans MT"/>
          <w:color w:val="000000"/>
        </w:rPr>
        <w:t xml:space="preserve">with a </w:t>
      </w:r>
      <w:r w:rsidR="001176A2">
        <w:rPr>
          <w:rFonts w:cs="Gill Sans MT"/>
          <w:color w:val="000000"/>
        </w:rPr>
        <w:t>focus</w:t>
      </w:r>
      <w:r w:rsidR="008E2A27">
        <w:rPr>
          <w:rFonts w:cs="Gill Sans MT"/>
          <w:color w:val="000000"/>
        </w:rPr>
        <w:t xml:space="preserve"> on </w:t>
      </w:r>
      <w:r>
        <w:rPr>
          <w:rFonts w:cs="Gill Sans MT"/>
          <w:color w:val="000000"/>
        </w:rPr>
        <w:t xml:space="preserve">intravenous device related HCA SAB. </w:t>
      </w:r>
      <w:r w:rsidRPr="00D8432C">
        <w:rPr>
          <w:rFonts w:cs="Gill Sans MT"/>
          <w:color w:val="000000"/>
        </w:rPr>
        <w:t xml:space="preserve"> </w:t>
      </w:r>
      <w:r>
        <w:rPr>
          <w:rFonts w:cs="Gill Sans MT"/>
          <w:color w:val="000000"/>
        </w:rPr>
        <w:t xml:space="preserve">These </w:t>
      </w:r>
      <w:r w:rsidRPr="00D8432C">
        <w:rPr>
          <w:rFonts w:cs="Gill Sans MT"/>
          <w:color w:val="000000"/>
        </w:rPr>
        <w:t>includ</w:t>
      </w:r>
      <w:r>
        <w:rPr>
          <w:rFonts w:cs="Gill Sans MT"/>
          <w:color w:val="000000"/>
        </w:rPr>
        <w:t>ed</w:t>
      </w:r>
      <w:r w:rsidRPr="00D8432C">
        <w:rPr>
          <w:rFonts w:cs="Gill Sans MT"/>
          <w:color w:val="000000"/>
        </w:rPr>
        <w:t xml:space="preserve"> a best practice IV device insertion and maintenance protocol, on-going education around hand hygiene, aseptic technique and appropriate documentation, a biannual cannulation course</w:t>
      </w:r>
      <w:r>
        <w:rPr>
          <w:rFonts w:cs="Gill Sans MT"/>
          <w:color w:val="000000"/>
        </w:rPr>
        <w:t>,</w:t>
      </w:r>
      <w:r w:rsidRPr="00D8432C">
        <w:rPr>
          <w:rFonts w:cs="Gill Sans MT"/>
          <w:color w:val="000000"/>
        </w:rPr>
        <w:t xml:space="preserve"> and a review of skin antisepsis.</w:t>
      </w:r>
      <w:r w:rsidR="008E2A27" w:rsidRPr="008E2A27">
        <w:t xml:space="preserve"> </w:t>
      </w:r>
      <w:r w:rsidR="008E2A27" w:rsidRPr="008E2A27">
        <w:rPr>
          <w:rFonts w:cs="Gill Sans MT"/>
          <w:color w:val="000000"/>
        </w:rPr>
        <w:t>In 2017</w:t>
      </w:r>
      <w:r w:rsidR="004D53EA">
        <w:rPr>
          <w:rFonts w:cs="Gill Sans MT"/>
          <w:color w:val="000000"/>
        </w:rPr>
        <w:t xml:space="preserve"> to </w:t>
      </w:r>
      <w:r w:rsidR="008E2A27" w:rsidRPr="008E2A27">
        <w:rPr>
          <w:rFonts w:cs="Gill Sans MT"/>
          <w:color w:val="000000"/>
        </w:rPr>
        <w:t xml:space="preserve">2018 the rate decreased </w:t>
      </w:r>
      <w:r w:rsidR="004D53EA">
        <w:rPr>
          <w:rFonts w:cs="Gill Sans MT"/>
          <w:color w:val="000000"/>
        </w:rPr>
        <w:t xml:space="preserve">to be </w:t>
      </w:r>
      <w:r w:rsidR="00E01C83">
        <w:rPr>
          <w:rFonts w:cs="Gill Sans MT"/>
          <w:color w:val="000000"/>
        </w:rPr>
        <w:t xml:space="preserve">comparable to </w:t>
      </w:r>
      <w:r w:rsidR="008E2A27" w:rsidRPr="008E2A27">
        <w:rPr>
          <w:rFonts w:cs="Gill Sans MT"/>
          <w:color w:val="000000"/>
        </w:rPr>
        <w:t>the</w:t>
      </w:r>
      <w:r w:rsidR="00E01C83">
        <w:rPr>
          <w:rFonts w:cs="Gill Sans MT"/>
          <w:color w:val="000000"/>
        </w:rPr>
        <w:t>ir</w:t>
      </w:r>
      <w:r w:rsidR="008E2A27" w:rsidRPr="008E2A27">
        <w:rPr>
          <w:rFonts w:cs="Gill Sans MT"/>
          <w:color w:val="000000"/>
        </w:rPr>
        <w:t xml:space="preserve"> peer group rate.</w:t>
      </w:r>
    </w:p>
    <w:p w:rsidR="00105081" w:rsidRPr="0085013C" w:rsidRDefault="004D53EA" w:rsidP="0085013C">
      <w:pPr>
        <w:pStyle w:val="Heading2"/>
        <w:spacing w:after="336"/>
        <w:rPr>
          <w:rFonts w:ascii="Gill Sans MT" w:eastAsia="Times New Roman" w:hAnsi="Gill Sans MT" w:cs="Times New Roman"/>
          <w:color w:val="auto"/>
          <w:sz w:val="32"/>
          <w:szCs w:val="32"/>
        </w:rPr>
      </w:pPr>
      <w:bookmarkStart w:id="105" w:name="_Toc12540762"/>
      <w:bookmarkStart w:id="106" w:name="_Toc11225102"/>
      <w:bookmarkStart w:id="107" w:name="_Hlk12540623"/>
      <w:r>
        <w:rPr>
          <w:rFonts w:ascii="Gill Sans MT" w:hAnsi="Gill Sans MT"/>
          <w:color w:val="auto"/>
          <w:sz w:val="32"/>
          <w:szCs w:val="32"/>
        </w:rPr>
        <w:lastRenderedPageBreak/>
        <w:t xml:space="preserve">Device related </w:t>
      </w:r>
      <w:r w:rsidR="007F067A" w:rsidRPr="0085013C">
        <w:rPr>
          <w:rFonts w:ascii="Gill Sans MT" w:hAnsi="Gill Sans MT"/>
          <w:color w:val="auto"/>
          <w:sz w:val="32"/>
          <w:szCs w:val="32"/>
        </w:rPr>
        <w:t>HCA SAB</w:t>
      </w:r>
      <w:bookmarkEnd w:id="105"/>
      <w:r w:rsidR="007F067A" w:rsidRPr="0085013C">
        <w:rPr>
          <w:rFonts w:ascii="Gill Sans MT" w:hAnsi="Gill Sans MT"/>
          <w:color w:val="auto"/>
          <w:sz w:val="32"/>
          <w:szCs w:val="32"/>
        </w:rPr>
        <w:t xml:space="preserve"> </w:t>
      </w:r>
      <w:bookmarkEnd w:id="106"/>
    </w:p>
    <w:p w:rsidR="00B1107D" w:rsidRDefault="007F067A" w:rsidP="00C27FC6">
      <w:pPr>
        <w:tabs>
          <w:tab w:val="left" w:pos="567"/>
        </w:tabs>
        <w:spacing w:afterLines="0"/>
      </w:pPr>
      <w:r w:rsidRPr="00E04B74">
        <w:t>Healthcare associated SAB are classified</w:t>
      </w:r>
      <w:r w:rsidR="001A6FA7">
        <w:t>, where possible, by the source of the infection</w:t>
      </w:r>
      <w:r w:rsidR="00666A42">
        <w:t xml:space="preserve"> whether that is a medical device (intravenous device and non-intravenous devices), a procedure (surgery and invasive instrumentation), a medical condition (neutropenia) or unknown</w:t>
      </w:r>
      <w:r w:rsidR="001A6FA7">
        <w:t xml:space="preserve">. </w:t>
      </w:r>
      <w:r w:rsidR="00F879C8">
        <w:fldChar w:fldCharType="begin"/>
      </w:r>
      <w:r w:rsidR="00F879C8">
        <w:instrText xml:space="preserve"> REF _Ref8214877 \h </w:instrText>
      </w:r>
      <w:r w:rsidR="00F879C8">
        <w:fldChar w:fldCharType="separate"/>
      </w:r>
      <w:r w:rsidR="00EA0ED7" w:rsidRPr="007F067A">
        <w:t xml:space="preserve">Figure </w:t>
      </w:r>
      <w:r w:rsidR="00EA0ED7">
        <w:rPr>
          <w:noProof/>
        </w:rPr>
        <w:t>13</w:t>
      </w:r>
      <w:r w:rsidR="00F879C8">
        <w:fldChar w:fldCharType="end"/>
      </w:r>
      <w:r w:rsidR="008E2A27">
        <w:t xml:space="preserve"> </w:t>
      </w:r>
      <w:r w:rsidRPr="00E04B74">
        <w:t xml:space="preserve">presents the number </w:t>
      </w:r>
      <w:r w:rsidR="008A2D97">
        <w:t xml:space="preserve">of </w:t>
      </w:r>
      <w:r w:rsidR="004D53EA" w:rsidRPr="00E04B74">
        <w:t>HCA SAB</w:t>
      </w:r>
      <w:r w:rsidR="004D53EA">
        <w:t xml:space="preserve"> related to </w:t>
      </w:r>
      <w:r w:rsidR="008A2D97">
        <w:t>these categories.</w:t>
      </w:r>
    </w:p>
    <w:p w:rsidR="00B1107D" w:rsidRDefault="00B1107D" w:rsidP="00C27FC6">
      <w:pPr>
        <w:tabs>
          <w:tab w:val="left" w:pos="567"/>
        </w:tabs>
        <w:spacing w:afterLines="0"/>
      </w:pPr>
    </w:p>
    <w:p w:rsidR="007F067A" w:rsidRDefault="007F067A" w:rsidP="007F067A">
      <w:pPr>
        <w:pStyle w:val="Caption"/>
        <w:rPr>
          <w:b w:val="0"/>
          <w:sz w:val="22"/>
          <w:szCs w:val="22"/>
        </w:rPr>
      </w:pPr>
      <w:bookmarkStart w:id="108" w:name="_Ref8214877"/>
      <w:bookmarkStart w:id="109" w:name="_Toc11392037"/>
      <w:bookmarkStart w:id="110" w:name="_Toc11392391"/>
      <w:bookmarkStart w:id="111" w:name="_Toc12540724"/>
      <w:r w:rsidRPr="007F067A">
        <w:rPr>
          <w:sz w:val="22"/>
          <w:szCs w:val="22"/>
        </w:rPr>
        <w:t xml:space="preserve">Figure </w:t>
      </w:r>
      <w:r w:rsidRPr="007F067A">
        <w:rPr>
          <w:sz w:val="22"/>
          <w:szCs w:val="22"/>
        </w:rPr>
        <w:fldChar w:fldCharType="begin"/>
      </w:r>
      <w:r w:rsidRPr="007F067A">
        <w:rPr>
          <w:sz w:val="22"/>
          <w:szCs w:val="22"/>
        </w:rPr>
        <w:instrText xml:space="preserve"> SEQ Figure \* ARABIC </w:instrText>
      </w:r>
      <w:r w:rsidRPr="007F067A">
        <w:rPr>
          <w:sz w:val="22"/>
          <w:szCs w:val="22"/>
        </w:rPr>
        <w:fldChar w:fldCharType="separate"/>
      </w:r>
      <w:r w:rsidR="00EA0ED7">
        <w:rPr>
          <w:noProof/>
          <w:sz w:val="22"/>
          <w:szCs w:val="22"/>
        </w:rPr>
        <w:t>13</w:t>
      </w:r>
      <w:r w:rsidRPr="007F067A">
        <w:rPr>
          <w:sz w:val="22"/>
          <w:szCs w:val="22"/>
        </w:rPr>
        <w:fldChar w:fldCharType="end"/>
      </w:r>
      <w:bookmarkEnd w:id="108"/>
      <w:r>
        <w:t xml:space="preserve"> </w:t>
      </w:r>
      <w:r w:rsidR="006A3C4C">
        <w:rPr>
          <w:b w:val="0"/>
          <w:sz w:val="22"/>
          <w:szCs w:val="22"/>
        </w:rPr>
        <w:t xml:space="preserve">Classification of </w:t>
      </w:r>
      <w:r w:rsidRPr="007F067A">
        <w:rPr>
          <w:b w:val="0"/>
          <w:sz w:val="22"/>
          <w:szCs w:val="22"/>
        </w:rPr>
        <w:t xml:space="preserve">HCA SAB – number and percentage by </w:t>
      </w:r>
      <w:r w:rsidRPr="007F067A">
        <w:rPr>
          <w:b w:val="0"/>
        </w:rPr>
        <w:t xml:space="preserve">calendar </w:t>
      </w:r>
      <w:r w:rsidRPr="007F067A">
        <w:rPr>
          <w:b w:val="0"/>
          <w:sz w:val="22"/>
          <w:szCs w:val="22"/>
        </w:rPr>
        <w:t>year</w:t>
      </w:r>
      <w:bookmarkEnd w:id="109"/>
      <w:bookmarkEnd w:id="110"/>
      <w:bookmarkEnd w:id="111"/>
    </w:p>
    <w:p w:rsidR="00666A42" w:rsidRPr="00666A42" w:rsidRDefault="006A3C4C" w:rsidP="00666A42">
      <w:pPr>
        <w:spacing w:after="336"/>
      </w:pPr>
      <w:r>
        <w:rPr>
          <w:noProof/>
          <w:lang w:eastAsia="en-AU"/>
        </w:rPr>
        <w:drawing>
          <wp:inline distT="0" distB="0" distL="0" distR="0" wp14:anchorId="441F57EB" wp14:editId="017CBDAC">
            <wp:extent cx="5768340" cy="3253740"/>
            <wp:effectExtent l="0" t="0" r="3810" b="3810"/>
            <wp:docPr id="10" name="Picture 10" descr="Figure 13 Classification of HCA SAB - number by calendar year &#10;Text description provided below 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8340" cy="3253740"/>
                    </a:xfrm>
                    <a:prstGeom prst="rect">
                      <a:avLst/>
                    </a:prstGeom>
                    <a:noFill/>
                  </pic:spPr>
                </pic:pic>
              </a:graphicData>
            </a:graphic>
          </wp:inline>
        </w:drawing>
      </w:r>
    </w:p>
    <w:p w:rsidR="0092575B" w:rsidRDefault="00BA2AA6" w:rsidP="0092575B">
      <w:pPr>
        <w:spacing w:afterLines="0"/>
      </w:pPr>
      <w:r>
        <w:t xml:space="preserve">Of the 184 medical device related HCA SABs from 2010 to 2018, 164 (89%) were related to intravenous (IV) devices. In 2018 there were 21 IV device related HCA SAB with </w:t>
      </w:r>
      <w:r w:rsidR="0092575B">
        <w:t xml:space="preserve">13 (62%) of these related to peripheral IV devices. </w:t>
      </w:r>
    </w:p>
    <w:p w:rsidR="005C0753" w:rsidRDefault="0092575B" w:rsidP="0092575B">
      <w:pPr>
        <w:spacing w:afterLines="0"/>
        <w:rPr>
          <w:rFonts w:cs="Gill Sans MT"/>
          <w:color w:val="000000"/>
        </w:rPr>
      </w:pPr>
      <w:r w:rsidRPr="007F067A">
        <w:rPr>
          <w:rFonts w:cs="Gill Sans MT"/>
          <w:color w:val="000000"/>
        </w:rPr>
        <w:t xml:space="preserve">Infection prevention strategies such as </w:t>
      </w:r>
      <w:r>
        <w:rPr>
          <w:rFonts w:cs="Gill Sans MT"/>
          <w:color w:val="000000"/>
        </w:rPr>
        <w:t xml:space="preserve">IV </w:t>
      </w:r>
      <w:r w:rsidRPr="007F067A">
        <w:rPr>
          <w:rFonts w:cs="Gill Sans MT"/>
          <w:color w:val="000000"/>
        </w:rPr>
        <w:t xml:space="preserve">device management procedures and processes, in conjunction with adherence to aseptic technique principles, can reduce the risk of patients developing a SAB secondary to an IV device. These strategies </w:t>
      </w:r>
      <w:r>
        <w:rPr>
          <w:rFonts w:cs="Gill Sans MT"/>
          <w:color w:val="000000"/>
        </w:rPr>
        <w:t xml:space="preserve">have been </w:t>
      </w:r>
      <w:r w:rsidRPr="007F067A">
        <w:rPr>
          <w:rFonts w:cs="Gill Sans MT"/>
          <w:color w:val="000000"/>
        </w:rPr>
        <w:t xml:space="preserve">implemented </w:t>
      </w:r>
      <w:r>
        <w:rPr>
          <w:rFonts w:cs="Gill Sans MT"/>
          <w:color w:val="000000"/>
        </w:rPr>
        <w:t xml:space="preserve">in Tasmanian public hospitals but require constant monitoring </w:t>
      </w:r>
      <w:r w:rsidRPr="007F067A">
        <w:rPr>
          <w:rFonts w:cs="Gill Sans MT"/>
          <w:color w:val="000000"/>
        </w:rPr>
        <w:t>and</w:t>
      </w:r>
      <w:r>
        <w:rPr>
          <w:rFonts w:cs="Gill Sans MT"/>
          <w:color w:val="000000"/>
        </w:rPr>
        <w:t xml:space="preserve"> ongoing staff education to ensure that they are sustained. </w:t>
      </w:r>
      <w:r w:rsidRPr="007F067A">
        <w:rPr>
          <w:rFonts w:cs="Gill Sans MT"/>
          <w:color w:val="000000"/>
        </w:rPr>
        <w:t xml:space="preserve"> </w:t>
      </w:r>
    </w:p>
    <w:p w:rsidR="005C0753" w:rsidRDefault="005C0753" w:rsidP="005C0753">
      <w:pPr>
        <w:spacing w:after="336"/>
        <w:rPr>
          <w:rFonts w:cs="Gill Sans MT"/>
          <w:color w:val="000000"/>
        </w:rPr>
      </w:pPr>
      <w:r>
        <w:rPr>
          <w:rFonts w:cs="Gill Sans MT"/>
          <w:color w:val="000000"/>
        </w:rPr>
        <w:br w:type="page"/>
      </w:r>
      <w:bookmarkStart w:id="112" w:name="_GoBack"/>
      <w:bookmarkEnd w:id="112"/>
    </w:p>
    <w:p w:rsidR="00366835" w:rsidRDefault="00366835" w:rsidP="0039594A">
      <w:pPr>
        <w:pStyle w:val="Heading1"/>
      </w:pPr>
      <w:bookmarkStart w:id="113" w:name="_Toc11225103"/>
      <w:bookmarkStart w:id="114" w:name="_Toc12540763"/>
      <w:bookmarkEnd w:id="78"/>
      <w:bookmarkEnd w:id="107"/>
      <w:r>
        <w:lastRenderedPageBreak/>
        <w:t>Key findings</w:t>
      </w:r>
      <w:bookmarkEnd w:id="113"/>
      <w:bookmarkEnd w:id="114"/>
    </w:p>
    <w:p w:rsidR="00366835" w:rsidRDefault="00366835" w:rsidP="00366835">
      <w:pPr>
        <w:spacing w:afterLines="0"/>
      </w:pPr>
      <w:r>
        <w:t xml:space="preserve">The key findings of this report are that </w:t>
      </w:r>
      <w:r w:rsidR="00EA0ED7">
        <w:t xml:space="preserve">from </w:t>
      </w:r>
      <w:r>
        <w:t xml:space="preserve">2010 </w:t>
      </w:r>
      <w:r w:rsidR="00EA0ED7">
        <w:t xml:space="preserve">to </w:t>
      </w:r>
      <w:r>
        <w:t>2018:</w:t>
      </w:r>
    </w:p>
    <w:p w:rsidR="00366835" w:rsidRDefault="00366835" w:rsidP="00366835">
      <w:pPr>
        <w:pStyle w:val="ListParagraph"/>
        <w:numPr>
          <w:ilvl w:val="0"/>
          <w:numId w:val="33"/>
        </w:numPr>
        <w:spacing w:afterLines="0" w:after="336"/>
        <w:ind w:left="567" w:hanging="567"/>
      </w:pPr>
      <w:r>
        <w:rPr>
          <w:lang w:eastAsia="en-AU"/>
        </w:rPr>
        <w:t xml:space="preserve">The number of SAB </w:t>
      </w:r>
      <w:r w:rsidR="004B231E">
        <w:rPr>
          <w:lang w:eastAsia="en-AU"/>
        </w:rPr>
        <w:t xml:space="preserve">reported </w:t>
      </w:r>
      <w:r>
        <w:rPr>
          <w:lang w:eastAsia="en-AU"/>
        </w:rPr>
        <w:t xml:space="preserve">in Tasmania increased over time, </w:t>
      </w:r>
      <w:r w:rsidR="00A61FAC">
        <w:rPr>
          <w:lang w:eastAsia="en-AU"/>
        </w:rPr>
        <w:t xml:space="preserve">attributable to </w:t>
      </w:r>
      <w:r>
        <w:rPr>
          <w:lang w:eastAsia="en-AU"/>
        </w:rPr>
        <w:t>an increase in community associated SAB.</w:t>
      </w:r>
    </w:p>
    <w:p w:rsidR="00E01C83" w:rsidRDefault="00E01C83" w:rsidP="00366835">
      <w:pPr>
        <w:pStyle w:val="ListParagraph"/>
        <w:numPr>
          <w:ilvl w:val="0"/>
          <w:numId w:val="33"/>
        </w:numPr>
        <w:spacing w:afterLines="0" w:after="336"/>
        <w:ind w:left="567" w:hanging="567"/>
      </w:pPr>
      <w:r>
        <w:t xml:space="preserve">The proportion of SAB episodes caused by methicillin resistant </w:t>
      </w:r>
      <w:r w:rsidRPr="00E72A1A">
        <w:rPr>
          <w:i/>
        </w:rPr>
        <w:t>Staphylococcus aureus</w:t>
      </w:r>
      <w:r>
        <w:t xml:space="preserve"> (MRSA) is higher in healthcare associated SAB than in community associated SAB but is lower than that reported nationally. </w:t>
      </w:r>
    </w:p>
    <w:p w:rsidR="00366835" w:rsidRDefault="00366835" w:rsidP="00366835">
      <w:pPr>
        <w:pStyle w:val="ListParagraph"/>
        <w:numPr>
          <w:ilvl w:val="1"/>
          <w:numId w:val="34"/>
        </w:numPr>
        <w:spacing w:after="336"/>
        <w:ind w:left="567" w:hanging="567"/>
        <w:rPr>
          <w:lang w:eastAsia="en-AU"/>
        </w:rPr>
      </w:pPr>
      <w:r>
        <w:rPr>
          <w:lang w:eastAsia="en-AU"/>
        </w:rPr>
        <w:t>The number and rate of healthcare associated SAB remained stable.</w:t>
      </w:r>
    </w:p>
    <w:p w:rsidR="006A1179" w:rsidRDefault="006A1179" w:rsidP="006A1179">
      <w:pPr>
        <w:pStyle w:val="ListParagraph"/>
        <w:numPr>
          <w:ilvl w:val="1"/>
          <w:numId w:val="34"/>
        </w:numPr>
        <w:spacing w:after="336"/>
        <w:ind w:left="567" w:hanging="567"/>
        <w:rPr>
          <w:lang w:eastAsia="en-AU"/>
        </w:rPr>
      </w:pPr>
      <w:r>
        <w:rPr>
          <w:lang w:eastAsia="en-AU"/>
        </w:rPr>
        <w:t>All major acute public hospitals in Tasmania have HCA SAB rates less than the National Benchmark of 2.0</w:t>
      </w:r>
      <w:r w:rsidR="00EA0ED7">
        <w:rPr>
          <w:lang w:eastAsia="en-AU"/>
        </w:rPr>
        <w:t xml:space="preserve"> per 1</w:t>
      </w:r>
      <w:r>
        <w:rPr>
          <w:lang w:eastAsia="en-AU"/>
        </w:rPr>
        <w:t xml:space="preserve">0 000 patient days </w:t>
      </w:r>
    </w:p>
    <w:p w:rsidR="00366835" w:rsidRDefault="00366835" w:rsidP="00366835">
      <w:pPr>
        <w:pStyle w:val="ListParagraph"/>
        <w:numPr>
          <w:ilvl w:val="1"/>
          <w:numId w:val="34"/>
        </w:numPr>
        <w:spacing w:after="336"/>
        <w:ind w:left="567" w:hanging="567"/>
        <w:rPr>
          <w:lang w:eastAsia="en-AU"/>
        </w:rPr>
      </w:pPr>
      <w:r>
        <w:rPr>
          <w:lang w:eastAsia="en-AU"/>
        </w:rPr>
        <w:t>Royal Hobart Hospital is the only facility with HCA SAB rates consistently less than their hospital peer group average.</w:t>
      </w:r>
    </w:p>
    <w:p w:rsidR="00AD0094" w:rsidRDefault="00366835" w:rsidP="00AD0094">
      <w:pPr>
        <w:pStyle w:val="ListParagraph"/>
        <w:numPr>
          <w:ilvl w:val="1"/>
          <w:numId w:val="34"/>
        </w:numPr>
        <w:spacing w:after="336"/>
        <w:ind w:left="567" w:hanging="567"/>
        <w:rPr>
          <w:lang w:eastAsia="en-AU"/>
        </w:rPr>
      </w:pPr>
      <w:r>
        <w:rPr>
          <w:lang w:eastAsia="en-AU"/>
        </w:rPr>
        <w:t xml:space="preserve">The proportion of intravenous device related HCA SAB in public hospitals decreased </w:t>
      </w:r>
      <w:r w:rsidR="00EA0ED7">
        <w:rPr>
          <w:lang w:eastAsia="en-AU"/>
        </w:rPr>
        <w:t xml:space="preserve">slightly since </w:t>
      </w:r>
      <w:r>
        <w:rPr>
          <w:lang w:eastAsia="en-AU"/>
        </w:rPr>
        <w:t>2014 but</w:t>
      </w:r>
      <w:r w:rsidR="006A1179">
        <w:rPr>
          <w:lang w:eastAsia="en-AU"/>
        </w:rPr>
        <w:t xml:space="preserve"> in 2018 still represented 44% of all HCA SAB</w:t>
      </w:r>
      <w:r w:rsidR="00EA0ED7">
        <w:rPr>
          <w:lang w:eastAsia="en-AU"/>
        </w:rPr>
        <w:t xml:space="preserve">. IV device related SAB </w:t>
      </w:r>
      <w:r w:rsidR="006A1179">
        <w:rPr>
          <w:lang w:eastAsia="en-AU"/>
        </w:rPr>
        <w:t>are potentially preventable events.</w:t>
      </w:r>
    </w:p>
    <w:p w:rsidR="00AD0094" w:rsidRDefault="00AD0094" w:rsidP="0039594A">
      <w:pPr>
        <w:pStyle w:val="Heading1"/>
      </w:pPr>
      <w:bookmarkStart w:id="115" w:name="_Toc11225104"/>
      <w:bookmarkStart w:id="116" w:name="_Toc12540764"/>
      <w:r>
        <w:lastRenderedPageBreak/>
        <w:t>References</w:t>
      </w:r>
      <w:bookmarkEnd w:id="115"/>
      <w:bookmarkEnd w:id="116"/>
    </w:p>
    <w:p w:rsidR="00636E72" w:rsidRDefault="00636E72" w:rsidP="001D3B15">
      <w:pPr>
        <w:pStyle w:val="ListParagraph"/>
        <w:numPr>
          <w:ilvl w:val="0"/>
          <w:numId w:val="41"/>
        </w:numPr>
        <w:spacing w:after="336"/>
        <w:ind w:left="567" w:hanging="567"/>
      </w:pPr>
      <w:r>
        <w:t>Australian Bureau of Statistics</w:t>
      </w:r>
      <w:r w:rsidR="00EA0ED7">
        <w:t xml:space="preserve">. Retrieved from </w:t>
      </w:r>
      <w:r>
        <w:t xml:space="preserve"> </w:t>
      </w:r>
      <w:hyperlink r:id="rId31" w:history="1">
        <w:r w:rsidR="00EA0ED7" w:rsidRPr="00EF719E">
          <w:rPr>
            <w:rStyle w:val="Hyperlink"/>
          </w:rPr>
          <w:t>https://www.abs.gov.au/ausstats/abs@.nsf/second+level+view?ReadForm&amp;prodno=3218.0&amp;viewtitle=Regional%20Population%20Growth,%20Australia~2009-10~Previous~31/03/2011&amp;&amp;tabname=Related%20Products&amp;prodno=3218.0&amp;issue=2009-10&amp;num=&amp;view=&amp;</w:t>
        </w:r>
      </w:hyperlink>
      <w:r w:rsidR="00EA0ED7">
        <w:t xml:space="preserve">; </w:t>
      </w:r>
      <w:hyperlink r:id="rId32" w:history="1">
        <w:r w:rsidR="00EA0ED7">
          <w:rPr>
            <w:rStyle w:val="Hyperlink"/>
          </w:rPr>
          <w:t>https://www.abs.gov.au/AUSSTATS/abs@.nsf/allprimarymainfeatures/30125843DE7F366ECA2582570013F5FE?opendocument</w:t>
        </w:r>
      </w:hyperlink>
      <w:r w:rsidR="00EA0ED7">
        <w:t xml:space="preserve"> and </w:t>
      </w:r>
      <w:hyperlink r:id="rId33" w:history="1">
        <w:r w:rsidR="00EA0ED7">
          <w:rPr>
            <w:rStyle w:val="Hyperlink"/>
          </w:rPr>
          <w:t>https://www.abs.gov.au/AUSSTATS/abs@.nsf/allprimarymainfeatures/E18EA7BE5701F459CA2583C3000C53C8?opendocument</w:t>
        </w:r>
      </w:hyperlink>
    </w:p>
    <w:p w:rsidR="001D3B15" w:rsidRDefault="001D3B15" w:rsidP="001D3B15">
      <w:pPr>
        <w:pStyle w:val="ListParagraph"/>
        <w:numPr>
          <w:ilvl w:val="0"/>
          <w:numId w:val="41"/>
        </w:numPr>
        <w:spacing w:after="336"/>
        <w:ind w:left="567" w:hanging="567"/>
      </w:pPr>
      <w:r>
        <w:t>Australian Commission on Safety and Quality in Health Care (ACSQHC)</w:t>
      </w:r>
      <w:r w:rsidR="00893EE5">
        <w:t xml:space="preserve"> (2019)</w:t>
      </w:r>
      <w:r>
        <w:t xml:space="preserve">. </w:t>
      </w:r>
      <w:r w:rsidRPr="00710FDB">
        <w:rPr>
          <w:i/>
        </w:rPr>
        <w:t>AURA 2019: third Australian report on antimicrobial use and resistance in human health.</w:t>
      </w:r>
      <w:r>
        <w:t xml:space="preserve"> Sydney: ACSQHC. Retrieved from </w:t>
      </w:r>
      <w:hyperlink r:id="rId34" w:history="1">
        <w:r w:rsidRPr="0061170F">
          <w:rPr>
            <w:rStyle w:val="Hyperlink"/>
          </w:rPr>
          <w:t>https://www.safetyandquality.gov.au/wp-content/uploads/2019/05/AURA-2019-Report.pdf</w:t>
        </w:r>
      </w:hyperlink>
    </w:p>
    <w:p w:rsidR="001D3B15" w:rsidRDefault="001D3B15" w:rsidP="001D3B15">
      <w:pPr>
        <w:pStyle w:val="ListParagraph"/>
        <w:numPr>
          <w:ilvl w:val="0"/>
          <w:numId w:val="41"/>
        </w:numPr>
        <w:spacing w:after="336"/>
        <w:ind w:left="567" w:hanging="567"/>
      </w:pPr>
      <w:r>
        <w:t xml:space="preserve">The </w:t>
      </w:r>
      <w:bookmarkStart w:id="117" w:name="_Hlk11145999"/>
      <w:r>
        <w:t>Australian Group on Antimicrobial Resistance (AGAR</w:t>
      </w:r>
      <w:bookmarkEnd w:id="117"/>
      <w:r>
        <w:t xml:space="preserve">) (2018). </w:t>
      </w:r>
      <w:bookmarkStart w:id="118" w:name="_Hlk11146056"/>
      <w:r w:rsidRPr="00710FDB">
        <w:rPr>
          <w:i/>
        </w:rPr>
        <w:t xml:space="preserve">Australian Staphylococcal Sepsis Outcome Program </w:t>
      </w:r>
      <w:bookmarkEnd w:id="118"/>
      <w:r w:rsidRPr="00710FDB">
        <w:rPr>
          <w:i/>
        </w:rPr>
        <w:t>(ASSOP) 2017</w:t>
      </w:r>
      <w:r>
        <w:t xml:space="preserve">. Retrieved from </w:t>
      </w:r>
      <w:hyperlink r:id="rId35" w:anchor="Staphylococcus-aureus" w:history="1">
        <w:r w:rsidRPr="0061170F">
          <w:rPr>
            <w:rStyle w:val="Hyperlink"/>
          </w:rPr>
          <w:t>http://agargroup.org.au/agar-surveys#Staphylococcus-aureus</w:t>
        </w:r>
      </w:hyperlink>
      <w:r>
        <w:t xml:space="preserve"> </w:t>
      </w:r>
    </w:p>
    <w:p w:rsidR="00C36C1D" w:rsidRPr="00C36C1D" w:rsidRDefault="00C36C1D" w:rsidP="00710FDB">
      <w:pPr>
        <w:pStyle w:val="ListParagraph"/>
        <w:numPr>
          <w:ilvl w:val="0"/>
          <w:numId w:val="41"/>
        </w:numPr>
        <w:spacing w:after="336"/>
        <w:ind w:left="567" w:hanging="567"/>
      </w:pPr>
      <w:r>
        <w:t xml:space="preserve">Australian Institute of Health and Welfare (AIHW) (2015). </w:t>
      </w:r>
      <w:r w:rsidRPr="00710FDB">
        <w:rPr>
          <w:i/>
        </w:rPr>
        <w:t xml:space="preserve">National Healthcare Agreement: PB g–Better health services: the rate of Staphylococcus aureus (including MRSA) bacteraemia is no more than 2.0 per 10,000 occupied bed days for acute care public hospitals by 2011–12 in each state and territory, 2018. </w:t>
      </w:r>
      <w:r>
        <w:t xml:space="preserve">Retrieved from </w:t>
      </w:r>
      <w:hyperlink r:id="rId36" w:history="1">
        <w:r w:rsidRPr="00647B73">
          <w:rPr>
            <w:rStyle w:val="Hyperlink"/>
          </w:rPr>
          <w:t>https://meteor.aihw.gov.au/content/index.phtml/itemId/658536</w:t>
        </w:r>
      </w:hyperlink>
      <w:r>
        <w:t xml:space="preserve"> </w:t>
      </w:r>
    </w:p>
    <w:p w:rsidR="00DF4F3D" w:rsidRDefault="00DF4F3D" w:rsidP="00710FDB">
      <w:pPr>
        <w:pStyle w:val="ListParagraph"/>
        <w:numPr>
          <w:ilvl w:val="0"/>
          <w:numId w:val="41"/>
        </w:numPr>
        <w:spacing w:after="336"/>
        <w:ind w:left="567" w:hanging="567"/>
      </w:pPr>
      <w:r>
        <w:t xml:space="preserve">Tasmanian Government (2017). </w:t>
      </w:r>
      <w:r w:rsidRPr="00710FDB">
        <w:rPr>
          <w:i/>
        </w:rPr>
        <w:t>Public Health Act 1997.</w:t>
      </w:r>
      <w:r>
        <w:t xml:space="preserve"> Retrieved from </w:t>
      </w:r>
      <w:hyperlink r:id="rId37" w:history="1">
        <w:r w:rsidRPr="00647B73">
          <w:rPr>
            <w:rStyle w:val="Hyperlink"/>
          </w:rPr>
          <w:t>https://www.legislation.tas.gov.au/view/html/inforce/current/act-1997-086</w:t>
        </w:r>
      </w:hyperlink>
      <w:r>
        <w:t xml:space="preserve"> </w:t>
      </w:r>
    </w:p>
    <w:p w:rsidR="00482184" w:rsidRPr="00482184" w:rsidRDefault="00482184" w:rsidP="00710FDB">
      <w:pPr>
        <w:pStyle w:val="ListParagraph"/>
        <w:numPr>
          <w:ilvl w:val="0"/>
          <w:numId w:val="41"/>
        </w:numPr>
        <w:spacing w:after="336"/>
        <w:ind w:left="567" w:hanging="567"/>
      </w:pPr>
      <w:r>
        <w:t xml:space="preserve">Australian Commission on Safety and Quality in Healthcare (2013). </w:t>
      </w:r>
      <w:r w:rsidRPr="00710FDB">
        <w:rPr>
          <w:i/>
        </w:rPr>
        <w:t>Implementation guide for surveillance of Staphylococcus aureus bacteraemia.</w:t>
      </w:r>
      <w:r>
        <w:t xml:space="preserve"> Sydney, NSW.; ACSQHC</w:t>
      </w:r>
    </w:p>
    <w:p w:rsidR="003C1768" w:rsidRPr="00710FDB" w:rsidRDefault="003C1768" w:rsidP="00710FDB">
      <w:pPr>
        <w:pStyle w:val="ListParagraph"/>
        <w:numPr>
          <w:ilvl w:val="0"/>
          <w:numId w:val="41"/>
        </w:numPr>
        <w:spacing w:after="336"/>
        <w:ind w:left="567" w:hanging="567"/>
        <w:rPr>
          <w:lang w:val="en" w:eastAsia="en-AU"/>
        </w:rPr>
      </w:pPr>
      <w:r w:rsidRPr="00710FDB">
        <w:rPr>
          <w:rFonts w:cs="Arial"/>
        </w:rPr>
        <w:t>Wilson, F, Hughson, L, Anderson, T and Wells, A. (2016).</w:t>
      </w:r>
      <w:r w:rsidRPr="00710FDB">
        <w:rPr>
          <w:b/>
        </w:rPr>
        <w:t xml:space="preserve"> </w:t>
      </w:r>
      <w:r w:rsidRPr="00710FDB">
        <w:rPr>
          <w:i/>
        </w:rPr>
        <w:t>Staphylococcus aureus bacteraemia (SAB) surveillance protocol.</w:t>
      </w:r>
      <w:r>
        <w:t xml:space="preserve"> </w:t>
      </w:r>
      <w:r w:rsidRPr="00710FDB">
        <w:rPr>
          <w:rFonts w:cs="Arial"/>
        </w:rPr>
        <w:t xml:space="preserve">Hobart: Department of Health and Human Services. </w:t>
      </w:r>
    </w:p>
    <w:p w:rsidR="00482184" w:rsidRDefault="00DF4F3D" w:rsidP="00710FDB">
      <w:pPr>
        <w:pStyle w:val="ListParagraph"/>
        <w:numPr>
          <w:ilvl w:val="0"/>
          <w:numId w:val="41"/>
        </w:numPr>
        <w:spacing w:after="336"/>
        <w:ind w:left="567" w:hanging="567"/>
      </w:pPr>
      <w:bookmarkStart w:id="119" w:name="_Hlk8816820"/>
      <w:bookmarkStart w:id="120" w:name="_Hlk8817565"/>
      <w:r>
        <w:t>AIHW</w:t>
      </w:r>
      <w:bookmarkEnd w:id="119"/>
      <w:r w:rsidR="00C36C1D">
        <w:t xml:space="preserve"> </w:t>
      </w:r>
      <w:r w:rsidR="002C1B21">
        <w:t>(</w:t>
      </w:r>
      <w:r w:rsidR="00AD0094">
        <w:t>2015</w:t>
      </w:r>
      <w:r w:rsidR="002C1B21">
        <w:t>)</w:t>
      </w:r>
      <w:r w:rsidR="00AD0094">
        <w:t xml:space="preserve">. </w:t>
      </w:r>
      <w:bookmarkEnd w:id="120"/>
      <w:r w:rsidR="00AD0094" w:rsidRPr="00710FDB">
        <w:rPr>
          <w:i/>
        </w:rPr>
        <w:t>Australian hospital peer groups.</w:t>
      </w:r>
      <w:r w:rsidR="00AD0094">
        <w:t xml:space="preserve"> Health services series no. 66. Cat. no. HSE 170. </w:t>
      </w:r>
      <w:r w:rsidRPr="00D81AD9">
        <w:t>Canberra</w:t>
      </w:r>
      <w:r>
        <w:t>, ACT.:</w:t>
      </w:r>
      <w:r w:rsidRPr="00D81AD9">
        <w:t xml:space="preserve"> AIHW</w:t>
      </w:r>
      <w:r>
        <w:t xml:space="preserve">.  Retrieved from </w:t>
      </w:r>
      <w:hyperlink r:id="rId38" w:history="1">
        <w:r w:rsidRPr="00647B73">
          <w:rPr>
            <w:rStyle w:val="Hyperlink"/>
          </w:rPr>
          <w:t>https://www.aihw.gov.au/reports/hospitals/australian-hospital-peer-groups/contents/table-of-contents</w:t>
        </w:r>
      </w:hyperlink>
      <w:r>
        <w:t xml:space="preserve"> </w:t>
      </w:r>
    </w:p>
    <w:p w:rsidR="00DF4F3D" w:rsidRDefault="00DF4F3D" w:rsidP="00710FDB">
      <w:pPr>
        <w:pStyle w:val="ListParagraph"/>
        <w:numPr>
          <w:ilvl w:val="0"/>
          <w:numId w:val="41"/>
        </w:numPr>
        <w:spacing w:after="336"/>
        <w:ind w:left="567" w:hanging="567"/>
      </w:pPr>
      <w:r>
        <w:t xml:space="preserve">AIHW (2019). </w:t>
      </w:r>
      <w:r w:rsidRPr="00710FDB">
        <w:rPr>
          <w:i/>
        </w:rPr>
        <w:t>Bloodstream infections associated with hospital care 2017/18: Australian hospital statistics.</w:t>
      </w:r>
      <w:r>
        <w:t xml:space="preserve"> Retrieved fro</w:t>
      </w:r>
      <w:r w:rsidR="00C36C1D">
        <w:t>m</w:t>
      </w:r>
      <w:r>
        <w:t xml:space="preserve"> </w:t>
      </w:r>
      <w:hyperlink r:id="rId39" w:history="1">
        <w:r w:rsidRPr="00647B73">
          <w:rPr>
            <w:rStyle w:val="Hyperlink"/>
          </w:rPr>
          <w:t>https://www.aihw.gov.au/reports/health-care-quality-performance/bloodstream-infections-hospital-care-17-18/contents/introduction</w:t>
        </w:r>
      </w:hyperlink>
    </w:p>
    <w:p w:rsidR="00DF4F3D" w:rsidRPr="00710FDB" w:rsidRDefault="00C46968" w:rsidP="00710FDB">
      <w:pPr>
        <w:pStyle w:val="ListParagraph"/>
        <w:numPr>
          <w:ilvl w:val="0"/>
          <w:numId w:val="41"/>
        </w:numPr>
        <w:spacing w:after="336"/>
        <w:ind w:left="567" w:hanging="567"/>
        <w:rPr>
          <w:rStyle w:val="Hyperlink"/>
          <w:rFonts w:eastAsia="Times New Roman" w:cs="Times New Roman"/>
        </w:rPr>
      </w:pPr>
      <w:r>
        <w:t xml:space="preserve">AIHW (2019). </w:t>
      </w:r>
      <w:proofErr w:type="spellStart"/>
      <w:r w:rsidRPr="00C46968">
        <w:t>MyHospitals</w:t>
      </w:r>
      <w:proofErr w:type="spellEnd"/>
      <w:r>
        <w:t xml:space="preserve">. Retrieved from </w:t>
      </w:r>
      <w:hyperlink r:id="rId40" w:history="1">
        <w:r w:rsidRPr="00710FDB">
          <w:rPr>
            <w:rStyle w:val="Hyperlink"/>
            <w:rFonts w:eastAsia="Times New Roman" w:cs="Times New Roman"/>
          </w:rPr>
          <w:t>https://www.myhospitals.gov.au/our-reports/healthcare-staphylococcus-aureus-bloodstream/february-2019/overview</w:t>
        </w:r>
      </w:hyperlink>
    </w:p>
    <w:p w:rsidR="00710FDB" w:rsidRDefault="008E2A27" w:rsidP="00710FDB">
      <w:pPr>
        <w:pStyle w:val="ListParagraph"/>
        <w:numPr>
          <w:ilvl w:val="0"/>
          <w:numId w:val="41"/>
        </w:numPr>
        <w:spacing w:after="336"/>
        <w:ind w:left="567" w:hanging="567"/>
      </w:pPr>
      <w:bookmarkStart w:id="121" w:name="_Hlk10634860"/>
      <w:r>
        <w:t>Im</w:t>
      </w:r>
      <w:r w:rsidR="00A61FAC">
        <w:t>am N</w:t>
      </w:r>
      <w:r>
        <w:t xml:space="preserve">, </w:t>
      </w:r>
      <w:proofErr w:type="spellStart"/>
      <w:r>
        <w:t>Tempone</w:t>
      </w:r>
      <w:proofErr w:type="spellEnd"/>
      <w:r>
        <w:t xml:space="preserve"> S, Armstrong PK , McCann</w:t>
      </w:r>
      <w:r w:rsidR="00A61FAC">
        <w:t xml:space="preserve"> R</w:t>
      </w:r>
      <w:r>
        <w:t>, Johnson</w:t>
      </w:r>
      <w:r w:rsidR="00A61FAC">
        <w:t xml:space="preserve"> S</w:t>
      </w:r>
      <w:r>
        <w:t xml:space="preserve">, Worth </w:t>
      </w:r>
      <w:r w:rsidR="00A61FAC">
        <w:t xml:space="preserve">LJ </w:t>
      </w:r>
      <w:r>
        <w:t>and Richards</w:t>
      </w:r>
      <w:r w:rsidR="00A61FAC">
        <w:t xml:space="preserve"> MJ</w:t>
      </w:r>
      <w:bookmarkEnd w:id="121"/>
      <w:r w:rsidR="00A61FAC">
        <w:t xml:space="preserve">.  Increased incidence of community-associated </w:t>
      </w:r>
      <w:r w:rsidR="00A61FAC" w:rsidRPr="00710FDB">
        <w:rPr>
          <w:i/>
        </w:rPr>
        <w:t>Staphylococcus aureus</w:t>
      </w:r>
      <w:r w:rsidR="00A61FAC">
        <w:t xml:space="preserve"> bloodstream infections in Victoria and Western Australia, 2011–2016. </w:t>
      </w:r>
      <w:r w:rsidRPr="00710FDB">
        <w:rPr>
          <w:i/>
        </w:rPr>
        <w:t>Med J Aust</w:t>
      </w:r>
      <w:r>
        <w:t xml:space="preserve"> 2019; 210 (2): 87-88. </w:t>
      </w:r>
    </w:p>
    <w:sectPr w:rsidR="00710FDB" w:rsidSect="000331C3">
      <w:headerReference w:type="default" r:id="rId41"/>
      <w:pgSz w:w="11906" w:h="16838"/>
      <w:pgMar w:top="427" w:right="1440" w:bottom="1440" w:left="1440"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43B" w:rsidRDefault="0084743B" w:rsidP="00590171">
      <w:pPr>
        <w:spacing w:after="336" w:line="240" w:lineRule="auto"/>
      </w:pPr>
      <w:r>
        <w:separator/>
      </w:r>
    </w:p>
  </w:endnote>
  <w:endnote w:type="continuationSeparator" w:id="0">
    <w:p w:rsidR="0084743B" w:rsidRDefault="0084743B"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DB" w:rsidRDefault="00710FDB" w:rsidP="00DE4C6A">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74097"/>
      <w:docPartObj>
        <w:docPartGallery w:val="Page Numbers (Bottom of Page)"/>
        <w:docPartUnique/>
      </w:docPartObj>
    </w:sdtPr>
    <w:sdtEndPr/>
    <w:sdtContent>
      <w:sdt>
        <w:sdtPr>
          <w:id w:val="860082579"/>
          <w:docPartObj>
            <w:docPartGallery w:val="Page Numbers (Top of Page)"/>
            <w:docPartUnique/>
          </w:docPartObj>
        </w:sdtPr>
        <w:sdtEndPr/>
        <w:sdtContent>
          <w:p w:rsidR="00710FDB" w:rsidRDefault="00710FDB"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sidR="005C0753">
              <w:rPr>
                <w:b/>
                <w:bCs/>
                <w:noProof/>
              </w:rPr>
              <w:t>16</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sidR="005C0753">
              <w:rPr>
                <w:b/>
                <w:bCs/>
                <w:noProof/>
              </w:rPr>
              <w:t>17</w:t>
            </w:r>
            <w:r w:rsidRPr="000E145C">
              <w:rPr>
                <w:b/>
                <w:bCs/>
              </w:rPr>
              <w:fldChar w:fldCharType="end"/>
            </w:r>
          </w:p>
        </w:sdtContent>
      </w:sdt>
    </w:sdtContent>
  </w:sdt>
  <w:p w:rsidR="00710FDB" w:rsidRDefault="00710FDB"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DB" w:rsidRDefault="00710FDB" w:rsidP="00DE4C6A">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43B" w:rsidRDefault="0084743B" w:rsidP="00590171">
      <w:pPr>
        <w:spacing w:after="336" w:line="240" w:lineRule="auto"/>
      </w:pPr>
      <w:r>
        <w:separator/>
      </w:r>
    </w:p>
  </w:footnote>
  <w:footnote w:type="continuationSeparator" w:id="0">
    <w:p w:rsidR="0084743B" w:rsidRDefault="0084743B"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DB" w:rsidRDefault="00710FDB" w:rsidP="00DE4C6A">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DB" w:rsidRDefault="00710FDB" w:rsidP="00DE4C6A">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DB" w:rsidRDefault="00710FDB" w:rsidP="00590171">
    <w:pPr>
      <w:pStyle w:val="Header"/>
      <w:spacing w:after="336"/>
    </w:pPr>
    <w:r>
      <w:rPr>
        <w:noProof/>
        <w:lang w:eastAsia="en-AU"/>
      </w:rPr>
      <w:drawing>
        <wp:anchor distT="0" distB="0" distL="114300" distR="114300" simplePos="0" relativeHeight="251659264" behindDoc="1" locked="0" layoutInCell="1" allowOverlap="1" wp14:anchorId="3998079B" wp14:editId="0AD7CD85">
          <wp:simplePos x="0" y="0"/>
          <wp:positionH relativeFrom="page">
            <wp:posOffset>0</wp:posOffset>
          </wp:positionH>
          <wp:positionV relativeFrom="page">
            <wp:posOffset>-154940</wp:posOffset>
          </wp:positionV>
          <wp:extent cx="7559040" cy="10688955"/>
          <wp:effectExtent l="0" t="0" r="3810" b="0"/>
          <wp:wrapNone/>
          <wp:docPr id="17" name="Picture 17" descr="Images of people of various ages, scenery and food." title="Front Page Cover for Healthcare Associated Infection Surveillance Repor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89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DB" w:rsidRPr="00980BE5" w:rsidRDefault="00710FDB" w:rsidP="00980BE5">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37E"/>
    <w:multiLevelType w:val="hybridMultilevel"/>
    <w:tmpl w:val="4EE62D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30341F7"/>
    <w:multiLevelType w:val="hybridMultilevel"/>
    <w:tmpl w:val="5392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7B2CC9"/>
    <w:multiLevelType w:val="hybridMultilevel"/>
    <w:tmpl w:val="999EED0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9524CEF"/>
    <w:multiLevelType w:val="hybridMultilevel"/>
    <w:tmpl w:val="8A22E2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C3B5582"/>
    <w:multiLevelType w:val="hybridMultilevel"/>
    <w:tmpl w:val="645C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A518B4"/>
    <w:multiLevelType w:val="hybridMultilevel"/>
    <w:tmpl w:val="3976D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5743D8F"/>
    <w:multiLevelType w:val="multilevel"/>
    <w:tmpl w:val="639A92DC"/>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16685BE1"/>
    <w:multiLevelType w:val="hybridMultilevel"/>
    <w:tmpl w:val="1BAE616A"/>
    <w:lvl w:ilvl="0" w:tplc="0C090001">
      <w:start w:val="1"/>
      <w:numFmt w:val="bullet"/>
      <w:lvlText w:val=""/>
      <w:lvlJc w:val="left"/>
      <w:pPr>
        <w:tabs>
          <w:tab w:val="num" w:pos="360"/>
        </w:tabs>
        <w:ind w:left="360" w:hanging="360"/>
      </w:pPr>
      <w:rPr>
        <w:rFonts w:ascii="Symbol" w:hAnsi="Symbol"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9">
    <w:nsid w:val="171B0D66"/>
    <w:multiLevelType w:val="hybridMultilevel"/>
    <w:tmpl w:val="9AD6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733D00"/>
    <w:multiLevelType w:val="hybridMultilevel"/>
    <w:tmpl w:val="A49EE1A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nsid w:val="17A25D55"/>
    <w:multiLevelType w:val="hybridMultilevel"/>
    <w:tmpl w:val="B55061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7CD399D"/>
    <w:multiLevelType w:val="hybridMultilevel"/>
    <w:tmpl w:val="2CE6D42C"/>
    <w:lvl w:ilvl="0" w:tplc="326A5BE0">
      <w:start w:val="1"/>
      <w:numFmt w:val="decimal"/>
      <w:lvlText w:val="%1."/>
      <w:lvlJc w:val="left"/>
      <w:pPr>
        <w:ind w:left="360" w:hanging="360"/>
      </w:pPr>
      <w:rPr>
        <w:rFonts w:ascii="Gill Sans MT" w:eastAsia="Times New Roman" w:hAnsi="Gill Sans MT"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184300CB"/>
    <w:multiLevelType w:val="hybridMultilevel"/>
    <w:tmpl w:val="2D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47E2268"/>
    <w:multiLevelType w:val="hybridMultilevel"/>
    <w:tmpl w:val="71289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56F3D81"/>
    <w:multiLevelType w:val="hybridMultilevel"/>
    <w:tmpl w:val="63C262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nsid w:val="2B871C2A"/>
    <w:multiLevelType w:val="hybridMultilevel"/>
    <w:tmpl w:val="5E0EB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DD209C2"/>
    <w:multiLevelType w:val="hybridMultilevel"/>
    <w:tmpl w:val="F1784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1A7019F"/>
    <w:multiLevelType w:val="hybridMultilevel"/>
    <w:tmpl w:val="B9C40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2506B08"/>
    <w:multiLevelType w:val="hybridMultilevel"/>
    <w:tmpl w:val="219A8D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3FB5463"/>
    <w:multiLevelType w:val="hybridMultilevel"/>
    <w:tmpl w:val="550662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5890178"/>
    <w:multiLevelType w:val="hybridMultilevel"/>
    <w:tmpl w:val="697C5A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39B47C26"/>
    <w:multiLevelType w:val="hybridMultilevel"/>
    <w:tmpl w:val="180493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3BFE51AF"/>
    <w:multiLevelType w:val="hybridMultilevel"/>
    <w:tmpl w:val="B4524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CB22E9D"/>
    <w:multiLevelType w:val="multilevel"/>
    <w:tmpl w:val="F82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791FE7"/>
    <w:multiLevelType w:val="hybridMultilevel"/>
    <w:tmpl w:val="2202F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A845C9D"/>
    <w:multiLevelType w:val="hybridMultilevel"/>
    <w:tmpl w:val="740A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BBA5F7A"/>
    <w:multiLevelType w:val="hybridMultilevel"/>
    <w:tmpl w:val="0B5E5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F565DD7"/>
    <w:multiLevelType w:val="hybridMultilevel"/>
    <w:tmpl w:val="797CF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2F70FD3"/>
    <w:multiLevelType w:val="hybridMultilevel"/>
    <w:tmpl w:val="739CB04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nsid w:val="55752C5B"/>
    <w:multiLevelType w:val="hybridMultilevel"/>
    <w:tmpl w:val="C0FC0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6147814"/>
    <w:multiLevelType w:val="hybridMultilevel"/>
    <w:tmpl w:val="AD02B55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9C17A97"/>
    <w:multiLevelType w:val="hybridMultilevel"/>
    <w:tmpl w:val="8DBE2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FC3767A"/>
    <w:multiLevelType w:val="hybridMultilevel"/>
    <w:tmpl w:val="DE06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48D3A90"/>
    <w:multiLevelType w:val="hybridMultilevel"/>
    <w:tmpl w:val="F18C3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9361BE0"/>
    <w:multiLevelType w:val="hybridMultilevel"/>
    <w:tmpl w:val="287A37B2"/>
    <w:lvl w:ilvl="0" w:tplc="0C09000B">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6D593D32"/>
    <w:multiLevelType w:val="hybridMultilevel"/>
    <w:tmpl w:val="C06A13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9D95C2C"/>
    <w:multiLevelType w:val="hybridMultilevel"/>
    <w:tmpl w:val="A536B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C69292A"/>
    <w:multiLevelType w:val="hybridMultilevel"/>
    <w:tmpl w:val="C97AF1F4"/>
    <w:lvl w:ilvl="0" w:tplc="0C09000F">
      <w:start w:val="1"/>
      <w:numFmt w:val="decimal"/>
      <w:lvlText w:val="%1."/>
      <w:lvlJc w:val="left"/>
      <w:pPr>
        <w:ind w:left="-1065" w:hanging="360"/>
      </w:pPr>
    </w:lvl>
    <w:lvl w:ilvl="1" w:tplc="0C090019" w:tentative="1">
      <w:start w:val="1"/>
      <w:numFmt w:val="lowerLetter"/>
      <w:lvlText w:val="%2."/>
      <w:lvlJc w:val="left"/>
      <w:pPr>
        <w:ind w:left="-345" w:hanging="360"/>
      </w:pPr>
    </w:lvl>
    <w:lvl w:ilvl="2" w:tplc="0C09001B" w:tentative="1">
      <w:start w:val="1"/>
      <w:numFmt w:val="lowerRoman"/>
      <w:lvlText w:val="%3."/>
      <w:lvlJc w:val="right"/>
      <w:pPr>
        <w:ind w:left="375" w:hanging="180"/>
      </w:pPr>
    </w:lvl>
    <w:lvl w:ilvl="3" w:tplc="0C09000F" w:tentative="1">
      <w:start w:val="1"/>
      <w:numFmt w:val="decimal"/>
      <w:lvlText w:val="%4."/>
      <w:lvlJc w:val="left"/>
      <w:pPr>
        <w:ind w:left="1095" w:hanging="360"/>
      </w:pPr>
    </w:lvl>
    <w:lvl w:ilvl="4" w:tplc="0C090019" w:tentative="1">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39">
    <w:nsid w:val="7F110884"/>
    <w:multiLevelType w:val="hybridMultilevel"/>
    <w:tmpl w:val="D0A0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7"/>
  </w:num>
  <w:num w:numId="4">
    <w:abstractNumId w:val="38"/>
  </w:num>
  <w:num w:numId="5">
    <w:abstractNumId w:val="5"/>
  </w:num>
  <w:num w:numId="6">
    <w:abstractNumId w:val="22"/>
  </w:num>
  <w:num w:numId="7">
    <w:abstractNumId w:val="10"/>
  </w:num>
  <w:num w:numId="8">
    <w:abstractNumId w:val="13"/>
  </w:num>
  <w:num w:numId="9">
    <w:abstractNumId w:val="3"/>
  </w:num>
  <w:num w:numId="10">
    <w:abstractNumId w:val="14"/>
  </w:num>
  <w:num w:numId="11">
    <w:abstractNumId w:val="29"/>
  </w:num>
  <w:num w:numId="12">
    <w:abstractNumId w:val="30"/>
  </w:num>
  <w:num w:numId="13">
    <w:abstractNumId w:val="7"/>
  </w:num>
  <w:num w:numId="14">
    <w:abstractNumId w:val="24"/>
  </w:num>
  <w:num w:numId="15">
    <w:abstractNumId w:val="39"/>
  </w:num>
  <w:num w:numId="16">
    <w:abstractNumId w:val="2"/>
  </w:num>
  <w:num w:numId="17">
    <w:abstractNumId w:val="21"/>
  </w:num>
  <w:num w:numId="18">
    <w:abstractNumId w:val="19"/>
  </w:num>
  <w:num w:numId="19">
    <w:abstractNumId w:val="23"/>
  </w:num>
  <w:num w:numId="20">
    <w:abstractNumId w:val="16"/>
  </w:num>
  <w:num w:numId="21">
    <w:abstractNumId w:val="1"/>
  </w:num>
  <w:num w:numId="22">
    <w:abstractNumId w:val="33"/>
  </w:num>
  <w:num w:numId="23">
    <w:abstractNumId w:val="4"/>
  </w:num>
  <w:num w:numId="24">
    <w:abstractNumId w:val="37"/>
  </w:num>
  <w:num w:numId="25">
    <w:abstractNumId w:val="12"/>
  </w:num>
  <w:num w:numId="26">
    <w:abstractNumId w:val="26"/>
  </w:num>
  <w:num w:numId="27">
    <w:abstractNumId w:val="23"/>
  </w:num>
  <w:num w:numId="28">
    <w:abstractNumId w:val="9"/>
  </w:num>
  <w:num w:numId="29">
    <w:abstractNumId w:val="15"/>
  </w:num>
  <w:num w:numId="30">
    <w:abstractNumId w:val="25"/>
  </w:num>
  <w:num w:numId="31">
    <w:abstractNumId w:val="36"/>
  </w:num>
  <w:num w:numId="32">
    <w:abstractNumId w:val="11"/>
  </w:num>
  <w:num w:numId="33">
    <w:abstractNumId w:val="18"/>
  </w:num>
  <w:num w:numId="34">
    <w:abstractNumId w:val="31"/>
  </w:num>
  <w:num w:numId="35">
    <w:abstractNumId w:val="28"/>
  </w:num>
  <w:num w:numId="36">
    <w:abstractNumId w:val="34"/>
  </w:num>
  <w:num w:numId="37">
    <w:abstractNumId w:val="6"/>
  </w:num>
  <w:num w:numId="38">
    <w:abstractNumId w:val="32"/>
  </w:num>
  <w:num w:numId="39">
    <w:abstractNumId w:val="27"/>
  </w:num>
  <w:num w:numId="40">
    <w:abstractNumId w:val="35"/>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635"/>
    <w:rsid w:val="000004AE"/>
    <w:rsid w:val="0000084B"/>
    <w:rsid w:val="00001D87"/>
    <w:rsid w:val="00005873"/>
    <w:rsid w:val="0001177D"/>
    <w:rsid w:val="00014445"/>
    <w:rsid w:val="0002220D"/>
    <w:rsid w:val="000224D3"/>
    <w:rsid w:val="00022753"/>
    <w:rsid w:val="000263AA"/>
    <w:rsid w:val="0003036F"/>
    <w:rsid w:val="00031053"/>
    <w:rsid w:val="000331C3"/>
    <w:rsid w:val="000364ED"/>
    <w:rsid w:val="00050540"/>
    <w:rsid w:val="00055B8C"/>
    <w:rsid w:val="0006067C"/>
    <w:rsid w:val="00062F14"/>
    <w:rsid w:val="00064A43"/>
    <w:rsid w:val="00066DCB"/>
    <w:rsid w:val="00070D39"/>
    <w:rsid w:val="0007201D"/>
    <w:rsid w:val="00073FF1"/>
    <w:rsid w:val="00081D07"/>
    <w:rsid w:val="00092327"/>
    <w:rsid w:val="000958CB"/>
    <w:rsid w:val="000A05A3"/>
    <w:rsid w:val="000A45A5"/>
    <w:rsid w:val="000A4DA1"/>
    <w:rsid w:val="000B117C"/>
    <w:rsid w:val="000C3212"/>
    <w:rsid w:val="000C5112"/>
    <w:rsid w:val="000C6378"/>
    <w:rsid w:val="000C6675"/>
    <w:rsid w:val="000D2E75"/>
    <w:rsid w:val="000D5577"/>
    <w:rsid w:val="000D55A1"/>
    <w:rsid w:val="000D5982"/>
    <w:rsid w:val="000E145C"/>
    <w:rsid w:val="000E2C45"/>
    <w:rsid w:val="000F0E7B"/>
    <w:rsid w:val="00105081"/>
    <w:rsid w:val="001055EE"/>
    <w:rsid w:val="00113CED"/>
    <w:rsid w:val="0011523E"/>
    <w:rsid w:val="001176A2"/>
    <w:rsid w:val="0013176B"/>
    <w:rsid w:val="0013198B"/>
    <w:rsid w:val="00134647"/>
    <w:rsid w:val="00140310"/>
    <w:rsid w:val="00143BA6"/>
    <w:rsid w:val="00146A02"/>
    <w:rsid w:val="00146FB5"/>
    <w:rsid w:val="00160E8E"/>
    <w:rsid w:val="00166B8C"/>
    <w:rsid w:val="00171CFD"/>
    <w:rsid w:val="001832D7"/>
    <w:rsid w:val="001935EC"/>
    <w:rsid w:val="001A273B"/>
    <w:rsid w:val="001A2E12"/>
    <w:rsid w:val="001A4A2E"/>
    <w:rsid w:val="001A6FA7"/>
    <w:rsid w:val="001B0547"/>
    <w:rsid w:val="001B5B2A"/>
    <w:rsid w:val="001B6F09"/>
    <w:rsid w:val="001B6FD8"/>
    <w:rsid w:val="001D1F9C"/>
    <w:rsid w:val="001D2BF5"/>
    <w:rsid w:val="001D3B15"/>
    <w:rsid w:val="001D5F15"/>
    <w:rsid w:val="001D7DF9"/>
    <w:rsid w:val="001E2FF0"/>
    <w:rsid w:val="001F2187"/>
    <w:rsid w:val="001F7191"/>
    <w:rsid w:val="00216E48"/>
    <w:rsid w:val="002257B3"/>
    <w:rsid w:val="002302C7"/>
    <w:rsid w:val="00247B8F"/>
    <w:rsid w:val="00251270"/>
    <w:rsid w:val="002514EC"/>
    <w:rsid w:val="002562DB"/>
    <w:rsid w:val="00256E5E"/>
    <w:rsid w:val="002610EE"/>
    <w:rsid w:val="002628BF"/>
    <w:rsid w:val="00265046"/>
    <w:rsid w:val="00271381"/>
    <w:rsid w:val="00271637"/>
    <w:rsid w:val="00271C3E"/>
    <w:rsid w:val="00272C65"/>
    <w:rsid w:val="002746BC"/>
    <w:rsid w:val="00284A02"/>
    <w:rsid w:val="00290713"/>
    <w:rsid w:val="00290824"/>
    <w:rsid w:val="002924C7"/>
    <w:rsid w:val="00292A94"/>
    <w:rsid w:val="00294658"/>
    <w:rsid w:val="002B4800"/>
    <w:rsid w:val="002C1B21"/>
    <w:rsid w:val="002C5A3A"/>
    <w:rsid w:val="002E34B3"/>
    <w:rsid w:val="002E3B74"/>
    <w:rsid w:val="002E5329"/>
    <w:rsid w:val="002E623B"/>
    <w:rsid w:val="002E6E53"/>
    <w:rsid w:val="002F3532"/>
    <w:rsid w:val="00301E13"/>
    <w:rsid w:val="003023BB"/>
    <w:rsid w:val="00311F52"/>
    <w:rsid w:val="00317FD3"/>
    <w:rsid w:val="003203FB"/>
    <w:rsid w:val="003204B2"/>
    <w:rsid w:val="003211A2"/>
    <w:rsid w:val="00331930"/>
    <w:rsid w:val="0033205E"/>
    <w:rsid w:val="00336C4F"/>
    <w:rsid w:val="00347423"/>
    <w:rsid w:val="00356D99"/>
    <w:rsid w:val="00357B3B"/>
    <w:rsid w:val="0036331F"/>
    <w:rsid w:val="00366835"/>
    <w:rsid w:val="00380546"/>
    <w:rsid w:val="00382E52"/>
    <w:rsid w:val="003875F5"/>
    <w:rsid w:val="0038760A"/>
    <w:rsid w:val="0039496D"/>
    <w:rsid w:val="0039594A"/>
    <w:rsid w:val="003A32EB"/>
    <w:rsid w:val="003A6F0D"/>
    <w:rsid w:val="003A7746"/>
    <w:rsid w:val="003A7A3F"/>
    <w:rsid w:val="003B484E"/>
    <w:rsid w:val="003B7E4B"/>
    <w:rsid w:val="003C1768"/>
    <w:rsid w:val="003C276F"/>
    <w:rsid w:val="003D299A"/>
    <w:rsid w:val="003D3593"/>
    <w:rsid w:val="003D3EAE"/>
    <w:rsid w:val="003D5AD6"/>
    <w:rsid w:val="003D6C3F"/>
    <w:rsid w:val="003E283D"/>
    <w:rsid w:val="003F263A"/>
    <w:rsid w:val="003F5DC5"/>
    <w:rsid w:val="00404139"/>
    <w:rsid w:val="0041557E"/>
    <w:rsid w:val="00431181"/>
    <w:rsid w:val="0043443B"/>
    <w:rsid w:val="00434495"/>
    <w:rsid w:val="00434C6E"/>
    <w:rsid w:val="004354E0"/>
    <w:rsid w:val="00441D9C"/>
    <w:rsid w:val="00445345"/>
    <w:rsid w:val="00447E0A"/>
    <w:rsid w:val="00454870"/>
    <w:rsid w:val="00457D3C"/>
    <w:rsid w:val="00457DC6"/>
    <w:rsid w:val="004602BA"/>
    <w:rsid w:val="0046397A"/>
    <w:rsid w:val="00466EA3"/>
    <w:rsid w:val="00471599"/>
    <w:rsid w:val="00471ADF"/>
    <w:rsid w:val="00481156"/>
    <w:rsid w:val="00482184"/>
    <w:rsid w:val="004836AA"/>
    <w:rsid w:val="004851E2"/>
    <w:rsid w:val="00490A10"/>
    <w:rsid w:val="004A1054"/>
    <w:rsid w:val="004A2A53"/>
    <w:rsid w:val="004A4039"/>
    <w:rsid w:val="004A4185"/>
    <w:rsid w:val="004A4BD9"/>
    <w:rsid w:val="004A4DF5"/>
    <w:rsid w:val="004A54A3"/>
    <w:rsid w:val="004A67B1"/>
    <w:rsid w:val="004A7598"/>
    <w:rsid w:val="004B231E"/>
    <w:rsid w:val="004B39D8"/>
    <w:rsid w:val="004C59AD"/>
    <w:rsid w:val="004C7397"/>
    <w:rsid w:val="004D53EA"/>
    <w:rsid w:val="004D6721"/>
    <w:rsid w:val="004D6E3F"/>
    <w:rsid w:val="004E7EB1"/>
    <w:rsid w:val="004F3FB7"/>
    <w:rsid w:val="004F6384"/>
    <w:rsid w:val="0050348F"/>
    <w:rsid w:val="00514E3E"/>
    <w:rsid w:val="00537E18"/>
    <w:rsid w:val="00547AE6"/>
    <w:rsid w:val="00560C8F"/>
    <w:rsid w:val="00570BB6"/>
    <w:rsid w:val="005714E2"/>
    <w:rsid w:val="00571BD4"/>
    <w:rsid w:val="00572DC0"/>
    <w:rsid w:val="005819F6"/>
    <w:rsid w:val="0058596D"/>
    <w:rsid w:val="005872A6"/>
    <w:rsid w:val="00590171"/>
    <w:rsid w:val="00590AD9"/>
    <w:rsid w:val="00592449"/>
    <w:rsid w:val="00594257"/>
    <w:rsid w:val="005943FE"/>
    <w:rsid w:val="005954E2"/>
    <w:rsid w:val="005A2A29"/>
    <w:rsid w:val="005A34EF"/>
    <w:rsid w:val="005B428C"/>
    <w:rsid w:val="005C0753"/>
    <w:rsid w:val="005C24E5"/>
    <w:rsid w:val="005C6455"/>
    <w:rsid w:val="005C7990"/>
    <w:rsid w:val="005D0EB3"/>
    <w:rsid w:val="005D2748"/>
    <w:rsid w:val="005D3D49"/>
    <w:rsid w:val="005D40B6"/>
    <w:rsid w:val="005D74CC"/>
    <w:rsid w:val="005D765B"/>
    <w:rsid w:val="005E2376"/>
    <w:rsid w:val="005E3464"/>
    <w:rsid w:val="005E544E"/>
    <w:rsid w:val="005E6FAA"/>
    <w:rsid w:val="005E756B"/>
    <w:rsid w:val="005F09AA"/>
    <w:rsid w:val="005F0E43"/>
    <w:rsid w:val="005F246B"/>
    <w:rsid w:val="005F4361"/>
    <w:rsid w:val="00603DBE"/>
    <w:rsid w:val="00605C6E"/>
    <w:rsid w:val="00605E4F"/>
    <w:rsid w:val="006061E8"/>
    <w:rsid w:val="00606982"/>
    <w:rsid w:val="00610890"/>
    <w:rsid w:val="00611B5E"/>
    <w:rsid w:val="00620648"/>
    <w:rsid w:val="006211FE"/>
    <w:rsid w:val="0062555E"/>
    <w:rsid w:val="00627852"/>
    <w:rsid w:val="0063074A"/>
    <w:rsid w:val="00636E72"/>
    <w:rsid w:val="00643C0C"/>
    <w:rsid w:val="00645762"/>
    <w:rsid w:val="00645A25"/>
    <w:rsid w:val="006511C6"/>
    <w:rsid w:val="00662081"/>
    <w:rsid w:val="006635E0"/>
    <w:rsid w:val="00665D07"/>
    <w:rsid w:val="00665F02"/>
    <w:rsid w:val="00666A42"/>
    <w:rsid w:val="006704BF"/>
    <w:rsid w:val="00682E99"/>
    <w:rsid w:val="00683235"/>
    <w:rsid w:val="00683BF6"/>
    <w:rsid w:val="00692F63"/>
    <w:rsid w:val="006A1179"/>
    <w:rsid w:val="006A1590"/>
    <w:rsid w:val="006A3C4C"/>
    <w:rsid w:val="006B079C"/>
    <w:rsid w:val="006B3088"/>
    <w:rsid w:val="006B3F11"/>
    <w:rsid w:val="006D1D36"/>
    <w:rsid w:val="006E3E9A"/>
    <w:rsid w:val="006E72A9"/>
    <w:rsid w:val="006E7351"/>
    <w:rsid w:val="006F2549"/>
    <w:rsid w:val="00710548"/>
    <w:rsid w:val="00710FDB"/>
    <w:rsid w:val="00711769"/>
    <w:rsid w:val="00715B41"/>
    <w:rsid w:val="00722802"/>
    <w:rsid w:val="007273A7"/>
    <w:rsid w:val="00730858"/>
    <w:rsid w:val="00732098"/>
    <w:rsid w:val="007326A4"/>
    <w:rsid w:val="00734130"/>
    <w:rsid w:val="00736D15"/>
    <w:rsid w:val="00741F4D"/>
    <w:rsid w:val="00743E1D"/>
    <w:rsid w:val="00747E12"/>
    <w:rsid w:val="007504FA"/>
    <w:rsid w:val="0075197B"/>
    <w:rsid w:val="0075482B"/>
    <w:rsid w:val="00762A69"/>
    <w:rsid w:val="00762EA9"/>
    <w:rsid w:val="00763E06"/>
    <w:rsid w:val="00764DCC"/>
    <w:rsid w:val="0076726D"/>
    <w:rsid w:val="007879F6"/>
    <w:rsid w:val="0079764F"/>
    <w:rsid w:val="007A05F0"/>
    <w:rsid w:val="007A1FDE"/>
    <w:rsid w:val="007A2C6E"/>
    <w:rsid w:val="007A6435"/>
    <w:rsid w:val="007A6F93"/>
    <w:rsid w:val="007B4C77"/>
    <w:rsid w:val="007D2320"/>
    <w:rsid w:val="007D6D43"/>
    <w:rsid w:val="007D7A2E"/>
    <w:rsid w:val="007E349D"/>
    <w:rsid w:val="007E4F7A"/>
    <w:rsid w:val="007E7D00"/>
    <w:rsid w:val="007F067A"/>
    <w:rsid w:val="007F38DF"/>
    <w:rsid w:val="007F72ED"/>
    <w:rsid w:val="007F7610"/>
    <w:rsid w:val="0080146E"/>
    <w:rsid w:val="008111B4"/>
    <w:rsid w:val="00812338"/>
    <w:rsid w:val="008144D0"/>
    <w:rsid w:val="008176F5"/>
    <w:rsid w:val="00822686"/>
    <w:rsid w:val="008268BB"/>
    <w:rsid w:val="008300FE"/>
    <w:rsid w:val="00835BAD"/>
    <w:rsid w:val="00840B67"/>
    <w:rsid w:val="008413F0"/>
    <w:rsid w:val="0084160B"/>
    <w:rsid w:val="0084743B"/>
    <w:rsid w:val="0085013C"/>
    <w:rsid w:val="008562A7"/>
    <w:rsid w:val="00862FED"/>
    <w:rsid w:val="008634AF"/>
    <w:rsid w:val="00874088"/>
    <w:rsid w:val="0087581C"/>
    <w:rsid w:val="008845E5"/>
    <w:rsid w:val="00884902"/>
    <w:rsid w:val="008854F1"/>
    <w:rsid w:val="00890DFD"/>
    <w:rsid w:val="00893EE5"/>
    <w:rsid w:val="00896EC5"/>
    <w:rsid w:val="008A1E61"/>
    <w:rsid w:val="008A2D97"/>
    <w:rsid w:val="008A5114"/>
    <w:rsid w:val="008A7143"/>
    <w:rsid w:val="008B1D5F"/>
    <w:rsid w:val="008B21CA"/>
    <w:rsid w:val="008B4046"/>
    <w:rsid w:val="008B715C"/>
    <w:rsid w:val="008B798E"/>
    <w:rsid w:val="008C2934"/>
    <w:rsid w:val="008C563E"/>
    <w:rsid w:val="008D2887"/>
    <w:rsid w:val="008D3839"/>
    <w:rsid w:val="008E161C"/>
    <w:rsid w:val="008E2A27"/>
    <w:rsid w:val="008E3062"/>
    <w:rsid w:val="008F201D"/>
    <w:rsid w:val="009016EC"/>
    <w:rsid w:val="00902A65"/>
    <w:rsid w:val="00903F1E"/>
    <w:rsid w:val="009109DB"/>
    <w:rsid w:val="00912FF0"/>
    <w:rsid w:val="009138AD"/>
    <w:rsid w:val="00922BEA"/>
    <w:rsid w:val="0092575B"/>
    <w:rsid w:val="0092575E"/>
    <w:rsid w:val="00932243"/>
    <w:rsid w:val="009334C0"/>
    <w:rsid w:val="00941B7C"/>
    <w:rsid w:val="009420E8"/>
    <w:rsid w:val="009426B6"/>
    <w:rsid w:val="00944125"/>
    <w:rsid w:val="00946E2A"/>
    <w:rsid w:val="00960E7A"/>
    <w:rsid w:val="0096126A"/>
    <w:rsid w:val="00961DB5"/>
    <w:rsid w:val="0096392B"/>
    <w:rsid w:val="009650CD"/>
    <w:rsid w:val="0096579E"/>
    <w:rsid w:val="00966507"/>
    <w:rsid w:val="0096769B"/>
    <w:rsid w:val="00974051"/>
    <w:rsid w:val="00976FB7"/>
    <w:rsid w:val="00980046"/>
    <w:rsid w:val="00980BE5"/>
    <w:rsid w:val="00981A19"/>
    <w:rsid w:val="00986AA8"/>
    <w:rsid w:val="009963C4"/>
    <w:rsid w:val="00996ACF"/>
    <w:rsid w:val="009B08CC"/>
    <w:rsid w:val="009B4961"/>
    <w:rsid w:val="009B4BEA"/>
    <w:rsid w:val="009B5215"/>
    <w:rsid w:val="009D21C4"/>
    <w:rsid w:val="009D3EEE"/>
    <w:rsid w:val="009D568F"/>
    <w:rsid w:val="009E0CA6"/>
    <w:rsid w:val="009E1C25"/>
    <w:rsid w:val="009E405E"/>
    <w:rsid w:val="009E5625"/>
    <w:rsid w:val="009E764B"/>
    <w:rsid w:val="009F16C6"/>
    <w:rsid w:val="009F30ED"/>
    <w:rsid w:val="009F6CD1"/>
    <w:rsid w:val="00A01475"/>
    <w:rsid w:val="00A060AF"/>
    <w:rsid w:val="00A1345B"/>
    <w:rsid w:val="00A1425E"/>
    <w:rsid w:val="00A15B3B"/>
    <w:rsid w:val="00A2099E"/>
    <w:rsid w:val="00A21ECD"/>
    <w:rsid w:val="00A244A5"/>
    <w:rsid w:val="00A24EAE"/>
    <w:rsid w:val="00A30084"/>
    <w:rsid w:val="00A334F5"/>
    <w:rsid w:val="00A34836"/>
    <w:rsid w:val="00A3745D"/>
    <w:rsid w:val="00A378F7"/>
    <w:rsid w:val="00A44482"/>
    <w:rsid w:val="00A5244B"/>
    <w:rsid w:val="00A61FAC"/>
    <w:rsid w:val="00A657D5"/>
    <w:rsid w:val="00A7123B"/>
    <w:rsid w:val="00A72205"/>
    <w:rsid w:val="00A75599"/>
    <w:rsid w:val="00A80993"/>
    <w:rsid w:val="00A8348E"/>
    <w:rsid w:val="00AA1F31"/>
    <w:rsid w:val="00AA4E56"/>
    <w:rsid w:val="00AB6FBB"/>
    <w:rsid w:val="00AC022B"/>
    <w:rsid w:val="00AC11FA"/>
    <w:rsid w:val="00AC1AC4"/>
    <w:rsid w:val="00AD0094"/>
    <w:rsid w:val="00AD6E23"/>
    <w:rsid w:val="00AE0838"/>
    <w:rsid w:val="00AE58AB"/>
    <w:rsid w:val="00AF3ADA"/>
    <w:rsid w:val="00B01BF0"/>
    <w:rsid w:val="00B1107D"/>
    <w:rsid w:val="00B145AA"/>
    <w:rsid w:val="00B15B61"/>
    <w:rsid w:val="00B229C2"/>
    <w:rsid w:val="00B27285"/>
    <w:rsid w:val="00B3005E"/>
    <w:rsid w:val="00B3262C"/>
    <w:rsid w:val="00B36CA9"/>
    <w:rsid w:val="00B51D72"/>
    <w:rsid w:val="00B62635"/>
    <w:rsid w:val="00B65685"/>
    <w:rsid w:val="00B701ED"/>
    <w:rsid w:val="00B77EB0"/>
    <w:rsid w:val="00B84EE7"/>
    <w:rsid w:val="00B86CCB"/>
    <w:rsid w:val="00B86D77"/>
    <w:rsid w:val="00B87A53"/>
    <w:rsid w:val="00B87B20"/>
    <w:rsid w:val="00BA0A68"/>
    <w:rsid w:val="00BA1BBF"/>
    <w:rsid w:val="00BA2AA6"/>
    <w:rsid w:val="00BA3929"/>
    <w:rsid w:val="00BB3BA8"/>
    <w:rsid w:val="00BC0483"/>
    <w:rsid w:val="00BC4244"/>
    <w:rsid w:val="00BC4E4B"/>
    <w:rsid w:val="00BC65C2"/>
    <w:rsid w:val="00BD2B7E"/>
    <w:rsid w:val="00BD3FD5"/>
    <w:rsid w:val="00BD5F28"/>
    <w:rsid w:val="00BE1169"/>
    <w:rsid w:val="00BE4BD2"/>
    <w:rsid w:val="00BF2B46"/>
    <w:rsid w:val="00BF2E9A"/>
    <w:rsid w:val="00C04B72"/>
    <w:rsid w:val="00C0593F"/>
    <w:rsid w:val="00C06949"/>
    <w:rsid w:val="00C105EB"/>
    <w:rsid w:val="00C15C11"/>
    <w:rsid w:val="00C16108"/>
    <w:rsid w:val="00C21C3F"/>
    <w:rsid w:val="00C25678"/>
    <w:rsid w:val="00C25C92"/>
    <w:rsid w:val="00C27FC6"/>
    <w:rsid w:val="00C30614"/>
    <w:rsid w:val="00C30CF8"/>
    <w:rsid w:val="00C30FE9"/>
    <w:rsid w:val="00C33E09"/>
    <w:rsid w:val="00C36C1D"/>
    <w:rsid w:val="00C37193"/>
    <w:rsid w:val="00C43AB0"/>
    <w:rsid w:val="00C46968"/>
    <w:rsid w:val="00C512A9"/>
    <w:rsid w:val="00C6752D"/>
    <w:rsid w:val="00C67AF3"/>
    <w:rsid w:val="00C71740"/>
    <w:rsid w:val="00C823CB"/>
    <w:rsid w:val="00C9143A"/>
    <w:rsid w:val="00C94AD3"/>
    <w:rsid w:val="00C97C9C"/>
    <w:rsid w:val="00CA380A"/>
    <w:rsid w:val="00CA5D15"/>
    <w:rsid w:val="00CB4079"/>
    <w:rsid w:val="00CC45E7"/>
    <w:rsid w:val="00CD457B"/>
    <w:rsid w:val="00CE03AB"/>
    <w:rsid w:val="00CE2251"/>
    <w:rsid w:val="00CF3DE1"/>
    <w:rsid w:val="00CF4C79"/>
    <w:rsid w:val="00CF6B9C"/>
    <w:rsid w:val="00CF7FCC"/>
    <w:rsid w:val="00D009AE"/>
    <w:rsid w:val="00D10BBA"/>
    <w:rsid w:val="00D13BFF"/>
    <w:rsid w:val="00D167A2"/>
    <w:rsid w:val="00D17763"/>
    <w:rsid w:val="00D2459C"/>
    <w:rsid w:val="00D26C72"/>
    <w:rsid w:val="00D30981"/>
    <w:rsid w:val="00D32D30"/>
    <w:rsid w:val="00D461CA"/>
    <w:rsid w:val="00D503A5"/>
    <w:rsid w:val="00D50D25"/>
    <w:rsid w:val="00D51220"/>
    <w:rsid w:val="00D53794"/>
    <w:rsid w:val="00D57794"/>
    <w:rsid w:val="00D703AA"/>
    <w:rsid w:val="00D709EC"/>
    <w:rsid w:val="00D819A0"/>
    <w:rsid w:val="00D81AD9"/>
    <w:rsid w:val="00D83AFE"/>
    <w:rsid w:val="00D84E00"/>
    <w:rsid w:val="00DA53BE"/>
    <w:rsid w:val="00DA5E44"/>
    <w:rsid w:val="00DB564F"/>
    <w:rsid w:val="00DB6CED"/>
    <w:rsid w:val="00DC1E4B"/>
    <w:rsid w:val="00DC2F82"/>
    <w:rsid w:val="00DC4EF8"/>
    <w:rsid w:val="00DD668D"/>
    <w:rsid w:val="00DE0951"/>
    <w:rsid w:val="00DE1422"/>
    <w:rsid w:val="00DE4C6A"/>
    <w:rsid w:val="00DF2718"/>
    <w:rsid w:val="00DF4EF5"/>
    <w:rsid w:val="00DF4F3D"/>
    <w:rsid w:val="00DF700D"/>
    <w:rsid w:val="00E01C83"/>
    <w:rsid w:val="00E02495"/>
    <w:rsid w:val="00E04B74"/>
    <w:rsid w:val="00E055F1"/>
    <w:rsid w:val="00E0642C"/>
    <w:rsid w:val="00E11234"/>
    <w:rsid w:val="00E21C8E"/>
    <w:rsid w:val="00E2324B"/>
    <w:rsid w:val="00E23F32"/>
    <w:rsid w:val="00E37D33"/>
    <w:rsid w:val="00E478F5"/>
    <w:rsid w:val="00E50A06"/>
    <w:rsid w:val="00E5663B"/>
    <w:rsid w:val="00E573EA"/>
    <w:rsid w:val="00E63270"/>
    <w:rsid w:val="00E66067"/>
    <w:rsid w:val="00E662DA"/>
    <w:rsid w:val="00E72A1A"/>
    <w:rsid w:val="00E74538"/>
    <w:rsid w:val="00E80881"/>
    <w:rsid w:val="00E85223"/>
    <w:rsid w:val="00E85B8D"/>
    <w:rsid w:val="00E9274D"/>
    <w:rsid w:val="00EA0ED7"/>
    <w:rsid w:val="00EA1CCF"/>
    <w:rsid w:val="00EA4532"/>
    <w:rsid w:val="00ED2157"/>
    <w:rsid w:val="00EE0F14"/>
    <w:rsid w:val="00EE1E15"/>
    <w:rsid w:val="00EE5E6F"/>
    <w:rsid w:val="00EE7D80"/>
    <w:rsid w:val="00EF3DFB"/>
    <w:rsid w:val="00EF3FC9"/>
    <w:rsid w:val="00EF497C"/>
    <w:rsid w:val="00EF5533"/>
    <w:rsid w:val="00EF64DD"/>
    <w:rsid w:val="00EF669B"/>
    <w:rsid w:val="00F018D6"/>
    <w:rsid w:val="00F0357A"/>
    <w:rsid w:val="00F1422A"/>
    <w:rsid w:val="00F15137"/>
    <w:rsid w:val="00F20A20"/>
    <w:rsid w:val="00F27D6C"/>
    <w:rsid w:val="00F31324"/>
    <w:rsid w:val="00F32114"/>
    <w:rsid w:val="00F40AE2"/>
    <w:rsid w:val="00F41B50"/>
    <w:rsid w:val="00F479BC"/>
    <w:rsid w:val="00F5672B"/>
    <w:rsid w:val="00F569CB"/>
    <w:rsid w:val="00F603C8"/>
    <w:rsid w:val="00F63AA0"/>
    <w:rsid w:val="00F645E6"/>
    <w:rsid w:val="00F73BB0"/>
    <w:rsid w:val="00F7688B"/>
    <w:rsid w:val="00F76CDF"/>
    <w:rsid w:val="00F81869"/>
    <w:rsid w:val="00F85013"/>
    <w:rsid w:val="00F85A6D"/>
    <w:rsid w:val="00F879C8"/>
    <w:rsid w:val="00F9232E"/>
    <w:rsid w:val="00F951E3"/>
    <w:rsid w:val="00FA2E3D"/>
    <w:rsid w:val="00FA3C3C"/>
    <w:rsid w:val="00FA72CE"/>
    <w:rsid w:val="00FB1A1F"/>
    <w:rsid w:val="00FB510B"/>
    <w:rsid w:val="00FB518B"/>
    <w:rsid w:val="00FB5A6D"/>
    <w:rsid w:val="00FC18DF"/>
    <w:rsid w:val="00FC1C76"/>
    <w:rsid w:val="00FC36F8"/>
    <w:rsid w:val="00FC658B"/>
    <w:rsid w:val="00FD2B0A"/>
    <w:rsid w:val="00FD33B5"/>
    <w:rsid w:val="00FD7006"/>
    <w:rsid w:val="00FE2AB1"/>
    <w:rsid w:val="00FE4895"/>
    <w:rsid w:val="00FE4B43"/>
    <w:rsid w:val="00FE54D5"/>
    <w:rsid w:val="00FF6255"/>
    <w:rsid w:val="00FF6DD5"/>
    <w:rsid w:val="00FF76E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A6D"/>
  </w:style>
  <w:style w:type="paragraph" w:styleId="Heading1">
    <w:name w:val="heading 1"/>
    <w:basedOn w:val="Normal"/>
    <w:next w:val="Normal"/>
    <w:link w:val="Heading1Char"/>
    <w:autoRedefine/>
    <w:uiPriority w:val="9"/>
    <w:qFormat/>
    <w:rsid w:val="0039594A"/>
    <w:pPr>
      <w:keepNext/>
      <w:keepLines/>
      <w:pageBreakBefore/>
      <w:spacing w:afterLines="0"/>
      <w:outlineLvl w:val="0"/>
    </w:pPr>
    <w:rPr>
      <w:rFonts w:eastAsiaTheme="majorEastAsia" w:cstheme="majorBidi"/>
      <w:b/>
      <w:bCs/>
      <w:sz w:val="40"/>
      <w:szCs w:val="40"/>
      <w:lang w:val="en"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39594A"/>
    <w:rPr>
      <w:rFonts w:eastAsiaTheme="majorEastAsia" w:cstheme="majorBidi"/>
      <w:b/>
      <w:bCs/>
      <w:sz w:val="40"/>
      <w:szCs w:val="40"/>
      <w:lang w:val="en"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2610EE"/>
    <w:rPr>
      <w:color w:val="808080"/>
    </w:rPr>
  </w:style>
  <w:style w:type="character" w:customStyle="1" w:styleId="UnresolvedMention">
    <w:name w:val="Unresolved Mention"/>
    <w:basedOn w:val="DefaultParagraphFont"/>
    <w:uiPriority w:val="99"/>
    <w:semiHidden/>
    <w:unhideWhenUsed/>
    <w:rsid w:val="001A2E12"/>
    <w:rPr>
      <w:color w:val="605E5C"/>
      <w:shd w:val="clear" w:color="auto" w:fill="E1DFDD"/>
    </w:rPr>
  </w:style>
  <w:style w:type="paragraph" w:customStyle="1" w:styleId="BulletedListLevel1">
    <w:name w:val="Bulleted List Level 1"/>
    <w:semiHidden/>
    <w:rsid w:val="007F067A"/>
    <w:pPr>
      <w:keepLines/>
      <w:numPr>
        <w:numId w:val="37"/>
      </w:numPr>
      <w:tabs>
        <w:tab w:val="left" w:pos="1134"/>
      </w:tabs>
      <w:spacing w:afterLines="0"/>
    </w:pPr>
    <w:rPr>
      <w:rFonts w:eastAsia="Times New Roman" w:cs="Times New Roman"/>
      <w:sz w:val="24"/>
      <w:szCs w:val="24"/>
    </w:rPr>
  </w:style>
  <w:style w:type="paragraph" w:styleId="TOCHeading">
    <w:name w:val="TOC Heading"/>
    <w:basedOn w:val="Heading1"/>
    <w:next w:val="Normal"/>
    <w:uiPriority w:val="39"/>
    <w:unhideWhenUsed/>
    <w:qFormat/>
    <w:rsid w:val="00884902"/>
    <w:pPr>
      <w:pageBreakBefore w:val="0"/>
      <w:spacing w:before="240" w:after="0" w:line="259" w:lineRule="auto"/>
      <w:outlineLvl w:val="9"/>
    </w:pPr>
    <w:rPr>
      <w:rFonts w:asciiTheme="majorHAnsi" w:hAnsiTheme="majorHAnsi"/>
      <w:b w:val="0"/>
      <w:bCs w:val="0"/>
      <w:color w:val="365F91" w:themeColor="accent1" w:themeShade="BF"/>
      <w:sz w:val="32"/>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A6D"/>
  </w:style>
  <w:style w:type="paragraph" w:styleId="Heading1">
    <w:name w:val="heading 1"/>
    <w:basedOn w:val="Normal"/>
    <w:next w:val="Normal"/>
    <w:link w:val="Heading1Char"/>
    <w:autoRedefine/>
    <w:uiPriority w:val="9"/>
    <w:qFormat/>
    <w:rsid w:val="0039594A"/>
    <w:pPr>
      <w:keepNext/>
      <w:keepLines/>
      <w:pageBreakBefore/>
      <w:spacing w:afterLines="0"/>
      <w:outlineLvl w:val="0"/>
    </w:pPr>
    <w:rPr>
      <w:rFonts w:eastAsiaTheme="majorEastAsia" w:cstheme="majorBidi"/>
      <w:b/>
      <w:bCs/>
      <w:sz w:val="40"/>
      <w:szCs w:val="40"/>
      <w:lang w:val="en"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39594A"/>
    <w:rPr>
      <w:rFonts w:eastAsiaTheme="majorEastAsia" w:cstheme="majorBidi"/>
      <w:b/>
      <w:bCs/>
      <w:sz w:val="40"/>
      <w:szCs w:val="40"/>
      <w:lang w:val="en"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2610EE"/>
    <w:rPr>
      <w:color w:val="808080"/>
    </w:rPr>
  </w:style>
  <w:style w:type="character" w:customStyle="1" w:styleId="UnresolvedMention">
    <w:name w:val="Unresolved Mention"/>
    <w:basedOn w:val="DefaultParagraphFont"/>
    <w:uiPriority w:val="99"/>
    <w:semiHidden/>
    <w:unhideWhenUsed/>
    <w:rsid w:val="001A2E12"/>
    <w:rPr>
      <w:color w:val="605E5C"/>
      <w:shd w:val="clear" w:color="auto" w:fill="E1DFDD"/>
    </w:rPr>
  </w:style>
  <w:style w:type="paragraph" w:customStyle="1" w:styleId="BulletedListLevel1">
    <w:name w:val="Bulleted List Level 1"/>
    <w:semiHidden/>
    <w:rsid w:val="007F067A"/>
    <w:pPr>
      <w:keepLines/>
      <w:numPr>
        <w:numId w:val="37"/>
      </w:numPr>
      <w:tabs>
        <w:tab w:val="left" w:pos="1134"/>
      </w:tabs>
      <w:spacing w:afterLines="0"/>
    </w:pPr>
    <w:rPr>
      <w:rFonts w:eastAsia="Times New Roman" w:cs="Times New Roman"/>
      <w:sz w:val="24"/>
      <w:szCs w:val="24"/>
    </w:rPr>
  </w:style>
  <w:style w:type="paragraph" w:styleId="TOCHeading">
    <w:name w:val="TOC Heading"/>
    <w:basedOn w:val="Heading1"/>
    <w:next w:val="Normal"/>
    <w:uiPriority w:val="39"/>
    <w:unhideWhenUsed/>
    <w:qFormat/>
    <w:rsid w:val="00884902"/>
    <w:pPr>
      <w:pageBreakBefore w:val="0"/>
      <w:spacing w:before="240" w:after="0" w:line="259" w:lineRule="auto"/>
      <w:outlineLvl w:val="9"/>
    </w:pPr>
    <w:rPr>
      <w:rFonts w:asciiTheme="majorHAnsi" w:hAnsiTheme="majorHAnsi"/>
      <w:b w:val="0"/>
      <w:bCs w:val="0"/>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94449676">
      <w:bodyDiv w:val="1"/>
      <w:marLeft w:val="0"/>
      <w:marRight w:val="0"/>
      <w:marTop w:val="0"/>
      <w:marBottom w:val="0"/>
      <w:divBdr>
        <w:top w:val="none" w:sz="0" w:space="0" w:color="auto"/>
        <w:left w:val="none" w:sz="0" w:space="0" w:color="auto"/>
        <w:bottom w:val="none" w:sz="0" w:space="0" w:color="auto"/>
        <w:right w:val="none" w:sz="0" w:space="0" w:color="auto"/>
      </w:divBdr>
    </w:div>
    <w:div w:id="158929881">
      <w:bodyDiv w:val="1"/>
      <w:marLeft w:val="0"/>
      <w:marRight w:val="0"/>
      <w:marTop w:val="0"/>
      <w:marBottom w:val="0"/>
      <w:divBdr>
        <w:top w:val="none" w:sz="0" w:space="0" w:color="auto"/>
        <w:left w:val="none" w:sz="0" w:space="0" w:color="auto"/>
        <w:bottom w:val="none" w:sz="0" w:space="0" w:color="auto"/>
        <w:right w:val="none" w:sz="0" w:space="0" w:color="auto"/>
      </w:divBdr>
    </w:div>
    <w:div w:id="246890864">
      <w:bodyDiv w:val="1"/>
      <w:marLeft w:val="0"/>
      <w:marRight w:val="0"/>
      <w:marTop w:val="0"/>
      <w:marBottom w:val="0"/>
      <w:divBdr>
        <w:top w:val="none" w:sz="0" w:space="0" w:color="auto"/>
        <w:left w:val="none" w:sz="0" w:space="0" w:color="auto"/>
        <w:bottom w:val="none" w:sz="0" w:space="0" w:color="auto"/>
        <w:right w:val="none" w:sz="0" w:space="0" w:color="auto"/>
      </w:divBdr>
    </w:div>
    <w:div w:id="301081848">
      <w:bodyDiv w:val="1"/>
      <w:marLeft w:val="0"/>
      <w:marRight w:val="0"/>
      <w:marTop w:val="0"/>
      <w:marBottom w:val="0"/>
      <w:divBdr>
        <w:top w:val="none" w:sz="0" w:space="0" w:color="auto"/>
        <w:left w:val="none" w:sz="0" w:space="0" w:color="auto"/>
        <w:bottom w:val="none" w:sz="0" w:space="0" w:color="auto"/>
        <w:right w:val="none" w:sz="0" w:space="0" w:color="auto"/>
      </w:divBdr>
    </w:div>
    <w:div w:id="313267615">
      <w:bodyDiv w:val="1"/>
      <w:marLeft w:val="0"/>
      <w:marRight w:val="0"/>
      <w:marTop w:val="0"/>
      <w:marBottom w:val="0"/>
      <w:divBdr>
        <w:top w:val="none" w:sz="0" w:space="0" w:color="auto"/>
        <w:left w:val="none" w:sz="0" w:space="0" w:color="auto"/>
        <w:bottom w:val="none" w:sz="0" w:space="0" w:color="auto"/>
        <w:right w:val="none" w:sz="0" w:space="0" w:color="auto"/>
      </w:divBdr>
    </w:div>
    <w:div w:id="418449244">
      <w:bodyDiv w:val="1"/>
      <w:marLeft w:val="0"/>
      <w:marRight w:val="0"/>
      <w:marTop w:val="0"/>
      <w:marBottom w:val="0"/>
      <w:divBdr>
        <w:top w:val="none" w:sz="0" w:space="0" w:color="auto"/>
        <w:left w:val="none" w:sz="0" w:space="0" w:color="auto"/>
        <w:bottom w:val="none" w:sz="0" w:space="0" w:color="auto"/>
        <w:right w:val="none" w:sz="0" w:space="0" w:color="auto"/>
      </w:divBdr>
    </w:div>
    <w:div w:id="543102838">
      <w:bodyDiv w:val="1"/>
      <w:marLeft w:val="0"/>
      <w:marRight w:val="0"/>
      <w:marTop w:val="0"/>
      <w:marBottom w:val="0"/>
      <w:divBdr>
        <w:top w:val="none" w:sz="0" w:space="0" w:color="auto"/>
        <w:left w:val="none" w:sz="0" w:space="0" w:color="auto"/>
        <w:bottom w:val="none" w:sz="0" w:space="0" w:color="auto"/>
        <w:right w:val="none" w:sz="0" w:space="0" w:color="auto"/>
      </w:divBdr>
      <w:divsChild>
        <w:div w:id="961957477">
          <w:marLeft w:val="0"/>
          <w:marRight w:val="0"/>
          <w:marTop w:val="0"/>
          <w:marBottom w:val="0"/>
          <w:divBdr>
            <w:top w:val="none" w:sz="0" w:space="0" w:color="auto"/>
            <w:left w:val="none" w:sz="0" w:space="0" w:color="auto"/>
            <w:bottom w:val="none" w:sz="0" w:space="0" w:color="auto"/>
            <w:right w:val="none" w:sz="0" w:space="0" w:color="auto"/>
          </w:divBdr>
          <w:divsChild>
            <w:div w:id="958804306">
              <w:marLeft w:val="0"/>
              <w:marRight w:val="0"/>
              <w:marTop w:val="0"/>
              <w:marBottom w:val="0"/>
              <w:divBdr>
                <w:top w:val="none" w:sz="0" w:space="0" w:color="auto"/>
                <w:left w:val="none" w:sz="0" w:space="0" w:color="auto"/>
                <w:bottom w:val="none" w:sz="0" w:space="0" w:color="auto"/>
                <w:right w:val="none" w:sz="0" w:space="0" w:color="auto"/>
              </w:divBdr>
            </w:div>
          </w:divsChild>
        </w:div>
        <w:div w:id="1384476540">
          <w:marLeft w:val="0"/>
          <w:marRight w:val="0"/>
          <w:marTop w:val="0"/>
          <w:marBottom w:val="0"/>
          <w:divBdr>
            <w:top w:val="none" w:sz="0" w:space="0" w:color="auto"/>
            <w:left w:val="none" w:sz="0" w:space="0" w:color="auto"/>
            <w:bottom w:val="none" w:sz="0" w:space="0" w:color="auto"/>
            <w:right w:val="none" w:sz="0" w:space="0" w:color="auto"/>
          </w:divBdr>
          <w:divsChild>
            <w:div w:id="224072130">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549223959">
      <w:bodyDiv w:val="1"/>
      <w:marLeft w:val="0"/>
      <w:marRight w:val="0"/>
      <w:marTop w:val="0"/>
      <w:marBottom w:val="0"/>
      <w:divBdr>
        <w:top w:val="none" w:sz="0" w:space="0" w:color="auto"/>
        <w:left w:val="none" w:sz="0" w:space="0" w:color="auto"/>
        <w:bottom w:val="none" w:sz="0" w:space="0" w:color="auto"/>
        <w:right w:val="none" w:sz="0" w:space="0" w:color="auto"/>
      </w:divBdr>
    </w:div>
    <w:div w:id="608775039">
      <w:bodyDiv w:val="1"/>
      <w:marLeft w:val="0"/>
      <w:marRight w:val="0"/>
      <w:marTop w:val="0"/>
      <w:marBottom w:val="0"/>
      <w:divBdr>
        <w:top w:val="none" w:sz="0" w:space="0" w:color="auto"/>
        <w:left w:val="none" w:sz="0" w:space="0" w:color="auto"/>
        <w:bottom w:val="none" w:sz="0" w:space="0" w:color="auto"/>
        <w:right w:val="none" w:sz="0" w:space="0" w:color="auto"/>
      </w:divBdr>
    </w:div>
    <w:div w:id="775176914">
      <w:bodyDiv w:val="1"/>
      <w:marLeft w:val="0"/>
      <w:marRight w:val="0"/>
      <w:marTop w:val="0"/>
      <w:marBottom w:val="0"/>
      <w:divBdr>
        <w:top w:val="none" w:sz="0" w:space="0" w:color="auto"/>
        <w:left w:val="none" w:sz="0" w:space="0" w:color="auto"/>
        <w:bottom w:val="none" w:sz="0" w:space="0" w:color="auto"/>
        <w:right w:val="none" w:sz="0" w:space="0" w:color="auto"/>
      </w:divBdr>
    </w:div>
    <w:div w:id="829058478">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970787930">
      <w:bodyDiv w:val="1"/>
      <w:marLeft w:val="0"/>
      <w:marRight w:val="0"/>
      <w:marTop w:val="0"/>
      <w:marBottom w:val="0"/>
      <w:divBdr>
        <w:top w:val="none" w:sz="0" w:space="0" w:color="auto"/>
        <w:left w:val="none" w:sz="0" w:space="0" w:color="auto"/>
        <w:bottom w:val="none" w:sz="0" w:space="0" w:color="auto"/>
        <w:right w:val="none" w:sz="0" w:space="0" w:color="auto"/>
      </w:divBdr>
    </w:div>
    <w:div w:id="1025979012">
      <w:bodyDiv w:val="1"/>
      <w:marLeft w:val="0"/>
      <w:marRight w:val="0"/>
      <w:marTop w:val="0"/>
      <w:marBottom w:val="0"/>
      <w:divBdr>
        <w:top w:val="none" w:sz="0" w:space="0" w:color="auto"/>
        <w:left w:val="none" w:sz="0" w:space="0" w:color="auto"/>
        <w:bottom w:val="none" w:sz="0" w:space="0" w:color="auto"/>
        <w:right w:val="none" w:sz="0" w:space="0" w:color="auto"/>
      </w:divBdr>
    </w:div>
    <w:div w:id="1050038161">
      <w:bodyDiv w:val="1"/>
      <w:marLeft w:val="0"/>
      <w:marRight w:val="0"/>
      <w:marTop w:val="0"/>
      <w:marBottom w:val="0"/>
      <w:divBdr>
        <w:top w:val="none" w:sz="0" w:space="0" w:color="auto"/>
        <w:left w:val="none" w:sz="0" w:space="0" w:color="auto"/>
        <w:bottom w:val="none" w:sz="0" w:space="0" w:color="auto"/>
        <w:right w:val="none" w:sz="0" w:space="0" w:color="auto"/>
      </w:divBdr>
    </w:div>
    <w:div w:id="1179660248">
      <w:bodyDiv w:val="1"/>
      <w:marLeft w:val="0"/>
      <w:marRight w:val="0"/>
      <w:marTop w:val="0"/>
      <w:marBottom w:val="0"/>
      <w:divBdr>
        <w:top w:val="none" w:sz="0" w:space="0" w:color="auto"/>
        <w:left w:val="none" w:sz="0" w:space="0" w:color="auto"/>
        <w:bottom w:val="none" w:sz="0" w:space="0" w:color="auto"/>
        <w:right w:val="none" w:sz="0" w:space="0" w:color="auto"/>
      </w:divBdr>
    </w:div>
    <w:div w:id="1287158795">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5359349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1476679069">
      <w:bodyDiv w:val="1"/>
      <w:marLeft w:val="0"/>
      <w:marRight w:val="0"/>
      <w:marTop w:val="0"/>
      <w:marBottom w:val="0"/>
      <w:divBdr>
        <w:top w:val="none" w:sz="0" w:space="0" w:color="auto"/>
        <w:left w:val="none" w:sz="0" w:space="0" w:color="auto"/>
        <w:bottom w:val="none" w:sz="0" w:space="0" w:color="auto"/>
        <w:right w:val="none" w:sz="0" w:space="0" w:color="auto"/>
      </w:divBdr>
    </w:div>
    <w:div w:id="1536042873">
      <w:bodyDiv w:val="1"/>
      <w:marLeft w:val="0"/>
      <w:marRight w:val="0"/>
      <w:marTop w:val="0"/>
      <w:marBottom w:val="0"/>
      <w:divBdr>
        <w:top w:val="none" w:sz="0" w:space="0" w:color="auto"/>
        <w:left w:val="none" w:sz="0" w:space="0" w:color="auto"/>
        <w:bottom w:val="none" w:sz="0" w:space="0" w:color="auto"/>
        <w:right w:val="none" w:sz="0" w:space="0" w:color="auto"/>
      </w:divBdr>
    </w:div>
    <w:div w:id="1587491300">
      <w:bodyDiv w:val="1"/>
      <w:marLeft w:val="0"/>
      <w:marRight w:val="0"/>
      <w:marTop w:val="0"/>
      <w:marBottom w:val="0"/>
      <w:divBdr>
        <w:top w:val="none" w:sz="0" w:space="0" w:color="auto"/>
        <w:left w:val="none" w:sz="0" w:space="0" w:color="auto"/>
        <w:bottom w:val="none" w:sz="0" w:space="0" w:color="auto"/>
        <w:right w:val="none" w:sz="0" w:space="0" w:color="auto"/>
      </w:divBdr>
    </w:div>
    <w:div w:id="1637181600">
      <w:bodyDiv w:val="1"/>
      <w:marLeft w:val="0"/>
      <w:marRight w:val="0"/>
      <w:marTop w:val="0"/>
      <w:marBottom w:val="0"/>
      <w:divBdr>
        <w:top w:val="none" w:sz="0" w:space="0" w:color="auto"/>
        <w:left w:val="none" w:sz="0" w:space="0" w:color="auto"/>
        <w:bottom w:val="none" w:sz="0" w:space="0" w:color="auto"/>
        <w:right w:val="none" w:sz="0" w:space="0" w:color="auto"/>
      </w:divBdr>
    </w:div>
    <w:div w:id="1662735880">
      <w:bodyDiv w:val="1"/>
      <w:marLeft w:val="0"/>
      <w:marRight w:val="0"/>
      <w:marTop w:val="0"/>
      <w:marBottom w:val="0"/>
      <w:divBdr>
        <w:top w:val="none" w:sz="0" w:space="0" w:color="auto"/>
        <w:left w:val="none" w:sz="0" w:space="0" w:color="auto"/>
        <w:bottom w:val="none" w:sz="0" w:space="0" w:color="auto"/>
        <w:right w:val="none" w:sz="0" w:space="0" w:color="auto"/>
      </w:divBdr>
    </w:div>
    <w:div w:id="1713115194">
      <w:bodyDiv w:val="1"/>
      <w:marLeft w:val="0"/>
      <w:marRight w:val="0"/>
      <w:marTop w:val="0"/>
      <w:marBottom w:val="0"/>
      <w:divBdr>
        <w:top w:val="none" w:sz="0" w:space="0" w:color="auto"/>
        <w:left w:val="none" w:sz="0" w:space="0" w:color="auto"/>
        <w:bottom w:val="none" w:sz="0" w:space="0" w:color="auto"/>
        <w:right w:val="none" w:sz="0" w:space="0" w:color="auto"/>
      </w:divBdr>
    </w:div>
    <w:div w:id="1714308137">
      <w:bodyDiv w:val="1"/>
      <w:marLeft w:val="0"/>
      <w:marRight w:val="0"/>
      <w:marTop w:val="0"/>
      <w:marBottom w:val="0"/>
      <w:divBdr>
        <w:top w:val="none" w:sz="0" w:space="0" w:color="auto"/>
        <w:left w:val="none" w:sz="0" w:space="0" w:color="auto"/>
        <w:bottom w:val="none" w:sz="0" w:space="0" w:color="auto"/>
        <w:right w:val="none" w:sz="0" w:space="0" w:color="auto"/>
      </w:divBdr>
    </w:div>
    <w:div w:id="1960640902">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yperlink" Target="https://www.aihw.gov.au/reports/health-care-quality-performance/bloodstream-infections-hospital-care-17-18/contents/introduction"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www.safetyandquality.gov.au/wp-content/uploads/2019/05/AURA-2019-Report.pdf"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yperlink" Target="https://www.abs.gov.au/AUSSTATS/abs@.nsf/allprimarymainfeatures/E18EA7BE5701F459CA2583C3000C53C8?opendocument" TargetMode="External"/><Relationship Id="rId38" Type="http://schemas.openxmlformats.org/officeDocument/2006/relationships/hyperlink" Target="https://www.aihw.gov.au/reports/hospitals/australian-hospital-peer-groups/contents/table-of-contents"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myhospitals.gov.au/" TargetMode="External"/><Relationship Id="rId32" Type="http://schemas.openxmlformats.org/officeDocument/2006/relationships/hyperlink" Target="https://www.abs.gov.au/AUSSTATS/abs@.nsf/allprimarymainfeatures/30125843DE7F366ECA2582570013F5FE?opendocument" TargetMode="External"/><Relationship Id="rId37" Type="http://schemas.openxmlformats.org/officeDocument/2006/relationships/hyperlink" Target="https://www.legislation.tas.gov.au/view/html/inforce/current/act-1997-086" TargetMode="External"/><Relationship Id="rId40" Type="http://schemas.openxmlformats.org/officeDocument/2006/relationships/hyperlink" Target="https://www.myhospitals.gov.au/our-reports/healthcare-staphylococcus-aureus-bloodstream/february-2019/overview"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myhospitals.gov.au/" TargetMode="External"/><Relationship Id="rId28" Type="http://schemas.openxmlformats.org/officeDocument/2006/relationships/image" Target="media/image12.jpeg"/><Relationship Id="rId36" Type="http://schemas.openxmlformats.org/officeDocument/2006/relationships/hyperlink" Target="https://meteor.aihw.gov.au/content/index.phtml/itemId/658536"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yperlink" Target="https://www.abs.gov.au/ausstats/abs@.nsf/second+level+view?ReadForm&amp;prodno=3218.0&amp;viewtitle=Regional%20Population%20Growth,%20Australia~2009-10~Previous~31/03/2011&amp;&amp;tabname=Related%20Products&amp;prodno=3218.0&amp;issue=2009-10&amp;num=&amp;view=&amp;"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myhospitals.gov.au/"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agargroup.org.au/agar-surveys"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3361B-B621-4D54-938D-E67B3A8D6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E0494B5A.dotm</Template>
  <TotalTime>750</TotalTime>
  <Pages>17</Pages>
  <Words>3418</Words>
  <Characters>19484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22857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Wilson</dc:creator>
  <cp:lastModifiedBy>Noakes, Frank C</cp:lastModifiedBy>
  <cp:revision>16</cp:revision>
  <cp:lastPrinted>2019-06-26T02:59:00Z</cp:lastPrinted>
  <dcterms:created xsi:type="dcterms:W3CDTF">2019-06-13T22:20:00Z</dcterms:created>
  <dcterms:modified xsi:type="dcterms:W3CDTF">2019-07-11T01:38:00Z</dcterms:modified>
</cp:coreProperties>
</file>