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5E52" w:rsidRDefault="00A658ED" w:rsidP="00EB1A11">
      <w:pPr>
        <w:spacing w:after="120" w:line="300" w:lineRule="atLeast"/>
        <w:jc w:val="center"/>
        <w:rPr>
          <w:rFonts w:ascii="Gill Sans MT" w:hAnsi="Gill Sans MT"/>
          <w:b/>
          <w:i/>
          <w:color w:val="003052"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8C65F" wp14:editId="1E8EDFCA">
                <wp:simplePos x="0" y="0"/>
                <wp:positionH relativeFrom="column">
                  <wp:posOffset>-466725</wp:posOffset>
                </wp:positionH>
                <wp:positionV relativeFrom="paragraph">
                  <wp:posOffset>-215265</wp:posOffset>
                </wp:positionV>
                <wp:extent cx="6934200" cy="1543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002B52"/>
                          </a:solidFill>
                        </a:ln>
                        <a:effectLst/>
                      </wps:spPr>
                      <wps:txbx>
                        <w:txbxContent>
                          <w:p w:rsidR="001A5E52" w:rsidRDefault="001A5E52" w:rsidP="001A5E52">
                            <w:pPr>
                              <w:ind w:left="2880" w:firstLine="720"/>
                              <w:rPr>
                                <w:rFonts w:ascii="Gill Sans MT" w:hAnsi="Gill Sans MT"/>
                                <w:b/>
                                <w:color w:val="003052"/>
                                <w:sz w:val="28"/>
                                <w:szCs w:val="28"/>
                              </w:rPr>
                            </w:pPr>
                            <w:r w:rsidRPr="00466FE1">
                              <w:rPr>
                                <w:rFonts w:ascii="Gill Sans MT" w:hAnsi="Gill Sans MT"/>
                                <w:b/>
                                <w:color w:val="003052"/>
                                <w:sz w:val="28"/>
                                <w:szCs w:val="28"/>
                              </w:rPr>
                              <w:t>Pharmaceutical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003052"/>
                                <w:sz w:val="28"/>
                                <w:szCs w:val="28"/>
                              </w:rPr>
                              <w:t xml:space="preserve"> Services Branch</w:t>
                            </w:r>
                          </w:p>
                          <w:p w:rsidR="001A5E52" w:rsidRDefault="001A5E52" w:rsidP="001A5E52">
                            <w:pPr>
                              <w:ind w:left="3600"/>
                              <w:rPr>
                                <w:rFonts w:ascii="Gill Sans MT" w:hAnsi="Gill Sans MT"/>
                                <w:b/>
                                <w:color w:val="00305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003052"/>
                                <w:sz w:val="32"/>
                                <w:szCs w:val="32"/>
                              </w:rPr>
                              <w:t xml:space="preserve">SECTION 59E OF THE POISONS ACT 1971 </w:t>
                            </w:r>
                            <w:r w:rsidRPr="001A5E52">
                              <w:rPr>
                                <w:rFonts w:ascii="Gill Sans MT" w:hAnsi="Gill Sans MT"/>
                                <w:b/>
                                <w:color w:val="003052"/>
                              </w:rPr>
                              <w:t xml:space="preserve">Regulation 19 of the Poisons Regulations 2008                  </w:t>
                            </w:r>
                          </w:p>
                          <w:p w:rsidR="001A5E52" w:rsidRPr="001A5E52" w:rsidRDefault="001A5E52" w:rsidP="001A5E52">
                            <w:pPr>
                              <w:ind w:left="3600"/>
                              <w:rPr>
                                <w:rFonts w:ascii="Gill Sans MT" w:hAnsi="Gill Sans MT"/>
                                <w:b/>
                                <w:color w:val="003052"/>
                                <w:sz w:val="28"/>
                                <w:szCs w:val="28"/>
                              </w:rPr>
                            </w:pPr>
                            <w:r w:rsidRPr="001A5E52">
                              <w:rPr>
                                <w:rFonts w:ascii="Gill Sans MT" w:hAnsi="Gill Sans MT"/>
                                <w:b/>
                                <w:color w:val="003052"/>
                                <w:sz w:val="28"/>
                                <w:szCs w:val="28"/>
                              </w:rPr>
                              <w:t>Terms of Reference of the Psychostimulants Advisory Committee (PAC)</w:t>
                            </w:r>
                          </w:p>
                          <w:p w:rsidR="001A5E52" w:rsidRPr="00D83AD7" w:rsidRDefault="001A5E52" w:rsidP="001A5E52">
                            <w:pPr>
                              <w:ind w:left="360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A5E52" w:rsidRDefault="001A5E52" w:rsidP="001A5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-16.95pt;width:546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" fillcolor="window" strokecolor="#002b52" strokeweight="1.75pt">
                <v:textbox>
                  <w:txbxContent>
                    <w:p w:rsidR="001A5E52" w:rsidRDefault="001A5E52" w:rsidP="001A5E52">
                      <w:pPr>
                        <w:ind w:left="2880" w:firstLine="720"/>
                        <w:rPr>
                          <w:rFonts w:ascii="Gill Sans MT" w:hAnsi="Gill Sans MT"/>
                          <w:b/>
                          <w:color w:val="003052"/>
                          <w:sz w:val="28"/>
                          <w:szCs w:val="28"/>
                        </w:rPr>
                      </w:pPr>
                      <w:r w:rsidRPr="00466FE1">
                        <w:rPr>
                          <w:rFonts w:ascii="Gill Sans MT" w:hAnsi="Gill Sans MT"/>
                          <w:b/>
                          <w:color w:val="003052"/>
                          <w:sz w:val="28"/>
                          <w:szCs w:val="28"/>
                        </w:rPr>
                        <w:t>Pharmaceutical</w:t>
                      </w:r>
                      <w:r>
                        <w:rPr>
                          <w:rFonts w:ascii="Gill Sans MT" w:hAnsi="Gill Sans MT"/>
                          <w:b/>
                          <w:color w:val="003052"/>
                          <w:sz w:val="28"/>
                          <w:szCs w:val="28"/>
                        </w:rPr>
                        <w:t xml:space="preserve"> Services Branch</w:t>
                      </w:r>
                    </w:p>
                    <w:p w:rsidR="001A5E52" w:rsidRDefault="001A5E52" w:rsidP="001A5E52">
                      <w:pPr>
                        <w:ind w:left="3600"/>
                        <w:rPr>
                          <w:rFonts w:ascii="Gill Sans MT" w:hAnsi="Gill Sans MT"/>
                          <w:b/>
                          <w:color w:val="003052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003052"/>
                          <w:sz w:val="32"/>
                          <w:szCs w:val="32"/>
                        </w:rPr>
                        <w:t xml:space="preserve">SECTION 59E OF THE POISONS ACT 1971 </w:t>
                      </w:r>
                      <w:r w:rsidRPr="001A5E52">
                        <w:rPr>
                          <w:rFonts w:ascii="Gill Sans MT" w:hAnsi="Gill Sans MT"/>
                          <w:b/>
                          <w:color w:val="003052"/>
                        </w:rPr>
                        <w:t xml:space="preserve">Regulation 19 of the Poisons Regulations 2008                  </w:t>
                      </w:r>
                    </w:p>
                    <w:p w:rsidR="001A5E52" w:rsidRPr="001A5E52" w:rsidRDefault="001A5E52" w:rsidP="001A5E52">
                      <w:pPr>
                        <w:ind w:left="3600"/>
                        <w:rPr>
                          <w:rFonts w:ascii="Gill Sans MT" w:hAnsi="Gill Sans MT"/>
                          <w:b/>
                          <w:color w:val="003052"/>
                          <w:sz w:val="28"/>
                          <w:szCs w:val="28"/>
                        </w:rPr>
                      </w:pPr>
                      <w:r w:rsidRPr="001A5E52">
                        <w:rPr>
                          <w:rFonts w:ascii="Gill Sans MT" w:hAnsi="Gill Sans MT"/>
                          <w:b/>
                          <w:color w:val="003052"/>
                          <w:sz w:val="28"/>
                          <w:szCs w:val="28"/>
                        </w:rPr>
                        <w:t>Terms of Reference of the Psychostimulants Advisory Committee (PAC)</w:t>
                      </w:r>
                    </w:p>
                    <w:p w:rsidR="001A5E52" w:rsidRPr="00D83AD7" w:rsidRDefault="001A5E52" w:rsidP="001A5E52">
                      <w:pPr>
                        <w:ind w:left="3600"/>
                        <w:rPr>
                          <w:sz w:val="32"/>
                          <w:szCs w:val="32"/>
                        </w:rPr>
                      </w:pPr>
                    </w:p>
                    <w:p w:rsidR="001A5E52" w:rsidRDefault="001A5E52" w:rsidP="001A5E52"/>
                  </w:txbxContent>
                </v:textbox>
              </v:shape>
            </w:pict>
          </mc:Fallback>
        </mc:AlternateContent>
      </w:r>
      <w:r w:rsidR="00D23E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9BFD4" wp14:editId="7571236B">
                <wp:simplePos x="0" y="0"/>
                <wp:positionH relativeFrom="column">
                  <wp:posOffset>-340360</wp:posOffset>
                </wp:positionH>
                <wp:positionV relativeFrom="paragraph">
                  <wp:posOffset>-153035</wp:posOffset>
                </wp:positionV>
                <wp:extent cx="1513205" cy="12611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126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E52" w:rsidRDefault="001A5E52">
                            <w:r>
                              <w:rPr>
                                <w:noProof/>
                                <w:color w:val="444444"/>
                                <w:lang w:eastAsia="en-AU"/>
                              </w:rPr>
                              <w:drawing>
                                <wp:inline distT="0" distB="0" distL="0" distR="0" wp14:anchorId="47B64636" wp14:editId="36B06813">
                                  <wp:extent cx="1114425" cy="1095545"/>
                                  <wp:effectExtent l="0" t="0" r="0" b="9525"/>
                                  <wp:docPr id="3" name="Picture 3" descr="http://www.communications.tas.gov.au/channels/logos/tasmanian_government_logos/100079_Tas_Gov_no_tag_rgb_ve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ommunications.tas.gov.au/channels/logos/tasmanian_government_logos/100079_Tas_Gov_no_tag_rgb_ve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598" cy="1100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-26.8pt;margin-top:-12.05pt;width:119.15pt;height:99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" fillcolor="white [3201]" stroked="f" strokeweight=".5pt">
                <v:textbox>
                  <w:txbxContent>
                    <w:p w:rsidR="001A5E52" w:rsidRDefault="001A5E52">
                      <w:r>
                        <w:rPr>
                          <w:noProof/>
                          <w:color w:val="444444"/>
                          <w:lang w:eastAsia="en-AU"/>
                        </w:rPr>
                        <w:drawing>
                          <wp:inline distT="0" distB="0" distL="0" distR="0" wp14:anchorId="47B64636" wp14:editId="36B06813">
                            <wp:extent cx="1114425" cy="1095545"/>
                            <wp:effectExtent l="0" t="0" r="0" b="9525"/>
                            <wp:docPr id="3" name="Picture 3" descr="http://www.communications.tas.gov.au/channels/logos/tasmanian_government_logos/100079_Tas_Gov_no_tag_rgb_ve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ommunications.tas.gov.au/channels/logos/tasmanian_government_logos/100079_Tas_Gov_no_tag_rgb_ve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9598" cy="1100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5E52" w:rsidRDefault="001A5E52" w:rsidP="00EB1A11">
      <w:pPr>
        <w:spacing w:after="120" w:line="300" w:lineRule="atLeast"/>
        <w:jc w:val="center"/>
        <w:rPr>
          <w:rFonts w:ascii="Gill Sans MT" w:hAnsi="Gill Sans MT"/>
          <w:b/>
          <w:i/>
          <w:color w:val="003052"/>
          <w:sz w:val="32"/>
          <w:szCs w:val="32"/>
        </w:rPr>
      </w:pPr>
    </w:p>
    <w:p w:rsidR="001A5E52" w:rsidRDefault="001A5E52" w:rsidP="00EB1A11">
      <w:pPr>
        <w:spacing w:after="120" w:line="300" w:lineRule="atLeast"/>
        <w:jc w:val="center"/>
        <w:rPr>
          <w:rFonts w:ascii="Gill Sans MT" w:hAnsi="Gill Sans MT"/>
          <w:b/>
          <w:i/>
          <w:color w:val="003052"/>
          <w:sz w:val="32"/>
          <w:szCs w:val="32"/>
        </w:rPr>
      </w:pPr>
    </w:p>
    <w:p w:rsidR="001A5E52" w:rsidRDefault="001A5E52" w:rsidP="00EB1A11">
      <w:pPr>
        <w:spacing w:after="120" w:line="300" w:lineRule="atLeast"/>
        <w:jc w:val="center"/>
        <w:rPr>
          <w:rFonts w:ascii="Gill Sans MT" w:hAnsi="Gill Sans MT"/>
          <w:b/>
          <w:i/>
          <w:color w:val="003052"/>
          <w:sz w:val="32"/>
          <w:szCs w:val="32"/>
        </w:rPr>
      </w:pPr>
    </w:p>
    <w:p w:rsidR="00D23EE3" w:rsidRPr="00D23EE3" w:rsidRDefault="00D23EE3" w:rsidP="00EB1A11">
      <w:pPr>
        <w:spacing w:after="120" w:line="300" w:lineRule="atLeast"/>
        <w:rPr>
          <w:rFonts w:ascii="Gill Sans MT" w:hAnsi="Gill Sans MT"/>
          <w:color w:val="003052"/>
        </w:rPr>
      </w:pPr>
    </w:p>
    <w:p w:rsidR="00EB1A11" w:rsidRPr="00EB1A11" w:rsidRDefault="00EB1A11" w:rsidP="00EB1A11">
      <w:pPr>
        <w:spacing w:after="120" w:line="300" w:lineRule="atLeast"/>
        <w:rPr>
          <w:rFonts w:ascii="Gill Sans MT" w:hAnsi="Gill Sans MT"/>
          <w:b/>
          <w:color w:val="003052"/>
          <w:sz w:val="24"/>
          <w:szCs w:val="24"/>
        </w:rPr>
      </w:pPr>
      <w:r w:rsidRPr="00EB1A11">
        <w:rPr>
          <w:rFonts w:ascii="Gill Sans MT" w:hAnsi="Gill Sans MT"/>
          <w:b/>
          <w:color w:val="003052"/>
          <w:sz w:val="24"/>
          <w:szCs w:val="24"/>
        </w:rPr>
        <w:t xml:space="preserve">Overview </w:t>
      </w:r>
    </w:p>
    <w:p w:rsidR="004345E4" w:rsidRPr="00EB1A11" w:rsidRDefault="004345E4" w:rsidP="00EB1A11">
      <w:pPr>
        <w:spacing w:after="120" w:line="300" w:lineRule="atLeast"/>
        <w:rPr>
          <w:rFonts w:ascii="Gill Sans MT" w:hAnsi="Gill Sans MT"/>
        </w:rPr>
      </w:pPr>
      <w:r w:rsidRPr="00EB1A11">
        <w:rPr>
          <w:rFonts w:ascii="Gill Sans MT" w:hAnsi="Gill Sans MT"/>
        </w:rPr>
        <w:t xml:space="preserve">The prescribing of </w:t>
      </w:r>
      <w:r w:rsidR="004B5788" w:rsidRPr="00EB1A11">
        <w:rPr>
          <w:rFonts w:ascii="Gill Sans MT" w:hAnsi="Gill Sans MT"/>
        </w:rPr>
        <w:t>the narcotic psychostimulants, methylphenidate and dexamphetamine,</w:t>
      </w:r>
      <w:r w:rsidRPr="00EB1A11">
        <w:rPr>
          <w:rFonts w:ascii="Gill Sans MT" w:hAnsi="Gill Sans MT"/>
        </w:rPr>
        <w:t xml:space="preserve"> is</w:t>
      </w:r>
      <w:r w:rsidR="000F3C70" w:rsidRPr="00EB1A11">
        <w:rPr>
          <w:rFonts w:ascii="Gill Sans MT" w:hAnsi="Gill Sans MT"/>
        </w:rPr>
        <w:t xml:space="preserve"> regulated under the Tasmanian </w:t>
      </w:r>
      <w:r w:rsidR="000F3C70" w:rsidRPr="00EB1A11">
        <w:rPr>
          <w:rFonts w:ascii="Gill Sans MT" w:hAnsi="Gill Sans MT"/>
          <w:i/>
        </w:rPr>
        <w:t>Poisons Act 1971</w:t>
      </w:r>
      <w:r w:rsidRPr="00EB1A11">
        <w:rPr>
          <w:rFonts w:ascii="Gill Sans MT" w:hAnsi="Gill Sans MT"/>
        </w:rPr>
        <w:t xml:space="preserve"> (the “Act”)</w:t>
      </w:r>
      <w:r w:rsidR="00A658ED">
        <w:rPr>
          <w:rFonts w:ascii="Gill Sans MT" w:hAnsi="Gill Sans MT"/>
        </w:rPr>
        <w:t xml:space="preserve"> </w:t>
      </w:r>
      <w:r w:rsidR="00A41318" w:rsidRPr="00EB1A11">
        <w:rPr>
          <w:rFonts w:ascii="Gill Sans MT" w:hAnsi="Gill Sans MT"/>
        </w:rPr>
        <w:t xml:space="preserve">and the </w:t>
      </w:r>
      <w:r w:rsidR="00A41318" w:rsidRPr="00EB1A11">
        <w:rPr>
          <w:rFonts w:ascii="Gill Sans MT" w:hAnsi="Gill Sans MT"/>
          <w:i/>
        </w:rPr>
        <w:t>Poisons Regulations 2008</w:t>
      </w:r>
      <w:r w:rsidR="000F3C70" w:rsidRPr="00EB1A11">
        <w:rPr>
          <w:rFonts w:ascii="Gill Sans MT" w:hAnsi="Gill Sans MT"/>
        </w:rPr>
        <w:t xml:space="preserve">. The regulation </w:t>
      </w:r>
      <w:r w:rsidRPr="00EB1A11">
        <w:rPr>
          <w:rFonts w:ascii="Gill Sans MT" w:hAnsi="Gill Sans MT"/>
        </w:rPr>
        <w:t>through the Act</w:t>
      </w:r>
      <w:r w:rsidR="000F3C70" w:rsidRPr="00EB1A11">
        <w:rPr>
          <w:rFonts w:ascii="Gill Sans MT" w:hAnsi="Gill Sans MT"/>
        </w:rPr>
        <w:t xml:space="preserve"> recognises</w:t>
      </w:r>
      <w:r w:rsidRPr="00EB1A11">
        <w:rPr>
          <w:rFonts w:ascii="Gill Sans MT" w:hAnsi="Gill Sans MT"/>
        </w:rPr>
        <w:t xml:space="preserve"> the medical utility of these substances in the treatment of </w:t>
      </w:r>
      <w:r w:rsidR="004B5788" w:rsidRPr="00EB1A11">
        <w:rPr>
          <w:rFonts w:ascii="Gill Sans MT" w:hAnsi="Gill Sans MT"/>
        </w:rPr>
        <w:t>attention deficit hyperactivity disorder and narcolepsy</w:t>
      </w:r>
      <w:r w:rsidRPr="00EB1A11">
        <w:rPr>
          <w:rFonts w:ascii="Gill Sans MT" w:hAnsi="Gill Sans MT"/>
        </w:rPr>
        <w:t xml:space="preserve"> but also their propensity for causing dependence and </w:t>
      </w:r>
      <w:r w:rsidR="002A0A86" w:rsidRPr="00EB1A11">
        <w:rPr>
          <w:rFonts w:ascii="Gill Sans MT" w:hAnsi="Gill Sans MT"/>
        </w:rPr>
        <w:t xml:space="preserve">the </w:t>
      </w:r>
      <w:r w:rsidRPr="00EB1A11">
        <w:rPr>
          <w:rFonts w:ascii="Gill Sans MT" w:hAnsi="Gill Sans MT"/>
        </w:rPr>
        <w:t>risk of diversion.</w:t>
      </w:r>
    </w:p>
    <w:p w:rsidR="00526A42" w:rsidRPr="00EB1A11" w:rsidRDefault="004345E4" w:rsidP="00EB1A11">
      <w:pPr>
        <w:spacing w:after="120" w:line="300" w:lineRule="atLeast"/>
        <w:rPr>
          <w:rFonts w:ascii="Gill Sans MT" w:hAnsi="Gill Sans MT"/>
        </w:rPr>
      </w:pPr>
      <w:r w:rsidRPr="00EB1A11">
        <w:rPr>
          <w:rFonts w:ascii="Gill Sans MT" w:hAnsi="Gill Sans MT"/>
        </w:rPr>
        <w:t xml:space="preserve">The Act requires a medical practitioner to obtain an authority </w:t>
      </w:r>
      <w:r w:rsidR="004B5788" w:rsidRPr="00EB1A11">
        <w:rPr>
          <w:rFonts w:ascii="Gill Sans MT" w:hAnsi="Gill Sans MT"/>
        </w:rPr>
        <w:t>from the Secretary of the Department before the commencement of the pre</w:t>
      </w:r>
      <w:r w:rsidRPr="00EB1A11">
        <w:rPr>
          <w:rFonts w:ascii="Gill Sans MT" w:hAnsi="Gill Sans MT"/>
        </w:rPr>
        <w:t xml:space="preserve">scribing </w:t>
      </w:r>
      <w:r w:rsidR="004B5788" w:rsidRPr="00EB1A11">
        <w:rPr>
          <w:rFonts w:ascii="Gill Sans MT" w:hAnsi="Gill Sans MT"/>
        </w:rPr>
        <w:t>of these</w:t>
      </w:r>
      <w:r w:rsidRPr="00EB1A11">
        <w:rPr>
          <w:rFonts w:ascii="Gill Sans MT" w:hAnsi="Gill Sans MT"/>
        </w:rPr>
        <w:t xml:space="preserve"> substances</w:t>
      </w:r>
      <w:r w:rsidR="004B5788" w:rsidRPr="00EB1A11">
        <w:rPr>
          <w:rFonts w:ascii="Gill Sans MT" w:hAnsi="Gill Sans MT"/>
        </w:rPr>
        <w:t>.</w:t>
      </w:r>
      <w:r w:rsidRPr="00EB1A11">
        <w:rPr>
          <w:rFonts w:ascii="Gill Sans MT" w:hAnsi="Gill Sans MT"/>
        </w:rPr>
        <w:t xml:space="preserve"> Pharmaceutical Services Branch is responsible for granting authorities to medical pract</w:t>
      </w:r>
      <w:r w:rsidR="002A0A86" w:rsidRPr="00EB1A11">
        <w:rPr>
          <w:rFonts w:ascii="Gill Sans MT" w:hAnsi="Gill Sans MT"/>
        </w:rPr>
        <w:t>i</w:t>
      </w:r>
      <w:r w:rsidR="00913C93" w:rsidRPr="00EB1A11">
        <w:rPr>
          <w:rFonts w:ascii="Gill Sans MT" w:hAnsi="Gill Sans MT"/>
        </w:rPr>
        <w:t xml:space="preserve">tioners </w:t>
      </w:r>
      <w:r w:rsidR="004B5788" w:rsidRPr="00EB1A11">
        <w:rPr>
          <w:rFonts w:ascii="Gill Sans MT" w:hAnsi="Gill Sans MT"/>
        </w:rPr>
        <w:t>to prescribe</w:t>
      </w:r>
      <w:r w:rsidR="00913C93" w:rsidRPr="00EB1A11">
        <w:rPr>
          <w:rFonts w:ascii="Gill Sans MT" w:hAnsi="Gill Sans MT"/>
        </w:rPr>
        <w:t xml:space="preserve"> and the p</w:t>
      </w:r>
      <w:r w:rsidR="002A0A86" w:rsidRPr="00EB1A11">
        <w:rPr>
          <w:rFonts w:ascii="Gill Sans MT" w:hAnsi="Gill Sans MT"/>
        </w:rPr>
        <w:t>harmacists within the Branch are delegates of the Secretary for this purpose.</w:t>
      </w:r>
    </w:p>
    <w:p w:rsidR="00A96955" w:rsidRPr="00EB1A11" w:rsidRDefault="006E013F" w:rsidP="00EB1A11">
      <w:pPr>
        <w:spacing w:after="120" w:line="300" w:lineRule="atLeast"/>
        <w:rPr>
          <w:rFonts w:ascii="Gill Sans MT" w:hAnsi="Gill Sans MT"/>
        </w:rPr>
      </w:pPr>
      <w:r w:rsidRPr="00EB1A11">
        <w:rPr>
          <w:rFonts w:ascii="Gill Sans MT" w:hAnsi="Gill Sans MT"/>
        </w:rPr>
        <w:t>Tasmanian g</w:t>
      </w:r>
      <w:r w:rsidR="00A96955" w:rsidRPr="00EB1A11">
        <w:rPr>
          <w:rFonts w:ascii="Gill Sans MT" w:hAnsi="Gill Sans MT"/>
        </w:rPr>
        <w:t>uidelines</w:t>
      </w:r>
      <w:r w:rsidRPr="00EB1A11">
        <w:rPr>
          <w:rFonts w:ascii="Gill Sans MT" w:hAnsi="Gill Sans MT"/>
        </w:rPr>
        <w:t>, supported by the relevant specialist colleges,</w:t>
      </w:r>
      <w:r w:rsidR="00A96955" w:rsidRPr="00EB1A11">
        <w:rPr>
          <w:rFonts w:ascii="Gill Sans MT" w:hAnsi="Gill Sans MT"/>
        </w:rPr>
        <w:t xml:space="preserve"> have been developed for the prescribing of these substances in both adults and children</w:t>
      </w:r>
      <w:r w:rsidRPr="00EB1A11">
        <w:rPr>
          <w:rFonts w:ascii="Gill Sans MT" w:hAnsi="Gill Sans MT"/>
        </w:rPr>
        <w:t xml:space="preserve">.  Copies of these guidelines can be found at </w:t>
      </w:r>
      <w:hyperlink r:id="rId10" w:history="1">
        <w:r w:rsidRPr="00EB1A11">
          <w:rPr>
            <w:rStyle w:val="Hyperlink"/>
            <w:rFonts w:ascii="Gill Sans MT" w:hAnsi="Gill Sans MT"/>
          </w:rPr>
          <w:t>www.dhhs.tas.gov.au/psbtas</w:t>
        </w:r>
      </w:hyperlink>
      <w:r w:rsidRPr="00EB1A11">
        <w:rPr>
          <w:rFonts w:ascii="Gill Sans MT" w:hAnsi="Gill Sans MT"/>
        </w:rPr>
        <w:t xml:space="preserve"> .  </w:t>
      </w:r>
      <w:r w:rsidR="00A96955" w:rsidRPr="00EB1A11">
        <w:rPr>
          <w:rFonts w:ascii="Gill Sans MT" w:hAnsi="Gill Sans MT"/>
        </w:rPr>
        <w:t>Th</w:t>
      </w:r>
      <w:r w:rsidR="00096362" w:rsidRPr="00EB1A11">
        <w:rPr>
          <w:rFonts w:ascii="Gill Sans MT" w:hAnsi="Gill Sans MT"/>
        </w:rPr>
        <w:t>ese</w:t>
      </w:r>
      <w:r w:rsidR="00A96955" w:rsidRPr="00EB1A11">
        <w:rPr>
          <w:rFonts w:ascii="Gill Sans MT" w:hAnsi="Gill Sans MT"/>
        </w:rPr>
        <w:t xml:space="preserve"> document</w:t>
      </w:r>
      <w:r w:rsidR="00096362" w:rsidRPr="00EB1A11">
        <w:rPr>
          <w:rFonts w:ascii="Gill Sans MT" w:hAnsi="Gill Sans MT"/>
        </w:rPr>
        <w:t>s draw</w:t>
      </w:r>
      <w:r w:rsidR="00A96955" w:rsidRPr="00EB1A11">
        <w:rPr>
          <w:rFonts w:ascii="Gill Sans MT" w:hAnsi="Gill Sans MT"/>
        </w:rPr>
        <w:t xml:space="preserve"> extensively </w:t>
      </w:r>
      <w:r w:rsidRPr="00EB1A11">
        <w:rPr>
          <w:rFonts w:ascii="Gill Sans MT" w:hAnsi="Gill Sans MT"/>
        </w:rPr>
        <w:t xml:space="preserve">on similar documents in other jurisdictions such as </w:t>
      </w:r>
      <w:r w:rsidR="00A96955" w:rsidRPr="00EB1A11">
        <w:rPr>
          <w:rFonts w:ascii="Gill Sans MT" w:hAnsi="Gill Sans MT"/>
        </w:rPr>
        <w:t xml:space="preserve">the NSW Health Departments documents   “Attention Deficit Hyperactivity Disorder in Adults: Criteria for Issue of Authority under The Poisons and Therapeutic Goods Act 1966 to Prescribe Dexamphetamine or Methylphenidate” (TG190/3). </w:t>
      </w:r>
    </w:p>
    <w:p w:rsidR="00A658ED" w:rsidRPr="00EB1A11" w:rsidRDefault="00913C93" w:rsidP="00EB1A11">
      <w:pPr>
        <w:spacing w:after="120" w:line="300" w:lineRule="atLeast"/>
        <w:rPr>
          <w:rFonts w:ascii="Gill Sans MT" w:hAnsi="Gill Sans MT"/>
        </w:rPr>
      </w:pPr>
      <w:r w:rsidRPr="00EB1A11">
        <w:rPr>
          <w:rFonts w:ascii="Gill Sans MT" w:hAnsi="Gill Sans MT"/>
        </w:rPr>
        <w:t xml:space="preserve">It is considered appropriate that the delegates have access to medical advice on a case-by-case basis when granting authorities. The </w:t>
      </w:r>
      <w:r w:rsidR="004B5788" w:rsidRPr="00EB1A11">
        <w:rPr>
          <w:rFonts w:ascii="Gill Sans MT" w:hAnsi="Gill Sans MT"/>
        </w:rPr>
        <w:t>Psychostimulants Advisory Committee</w:t>
      </w:r>
      <w:r w:rsidRPr="00EB1A11">
        <w:rPr>
          <w:rFonts w:ascii="Gill Sans MT" w:hAnsi="Gill Sans MT"/>
        </w:rPr>
        <w:t xml:space="preserve"> </w:t>
      </w:r>
      <w:r w:rsidR="004B5788" w:rsidRPr="00EB1A11">
        <w:rPr>
          <w:rFonts w:ascii="Gill Sans MT" w:hAnsi="Gill Sans MT"/>
        </w:rPr>
        <w:t xml:space="preserve">(PAC) </w:t>
      </w:r>
      <w:r w:rsidRPr="00EB1A11">
        <w:rPr>
          <w:rFonts w:ascii="Gill Sans MT" w:hAnsi="Gill Sans MT"/>
        </w:rPr>
        <w:t>provides a suitable structure for review and recommendations</w:t>
      </w:r>
      <w:r w:rsidR="006E013F" w:rsidRPr="00EB1A11">
        <w:rPr>
          <w:rFonts w:ascii="Gill Sans MT" w:hAnsi="Gill Sans MT"/>
        </w:rPr>
        <w:t xml:space="preserve"> for applications in relation to complex cases and those that do not meet the endorsed guidelines</w:t>
      </w:r>
      <w:r w:rsidR="004B5788" w:rsidRPr="00EB1A11">
        <w:rPr>
          <w:rFonts w:ascii="Gill Sans MT" w:hAnsi="Gill Sans MT"/>
        </w:rPr>
        <w:t>.</w:t>
      </w:r>
      <w:r w:rsidR="00A658ED">
        <w:rPr>
          <w:rFonts w:ascii="Gill Sans MT" w:hAnsi="Gill Sans MT"/>
        </w:rPr>
        <w:t xml:space="preserve"> </w:t>
      </w:r>
    </w:p>
    <w:p w:rsidR="00EB1A11" w:rsidRPr="00EB1A11" w:rsidRDefault="00EB1A11" w:rsidP="00EB1A11">
      <w:pPr>
        <w:spacing w:after="120" w:line="300" w:lineRule="atLeast"/>
        <w:rPr>
          <w:rFonts w:ascii="Gill Sans MT" w:hAnsi="Gill Sans MT"/>
          <w:sz w:val="24"/>
          <w:szCs w:val="24"/>
        </w:rPr>
      </w:pPr>
      <w:r w:rsidRPr="00EB1A11">
        <w:rPr>
          <w:rFonts w:ascii="Gill Sans MT" w:hAnsi="Gill Sans MT"/>
          <w:b/>
          <w:color w:val="003052"/>
          <w:sz w:val="24"/>
          <w:szCs w:val="24"/>
        </w:rPr>
        <w:t>Role and function</w:t>
      </w:r>
    </w:p>
    <w:p w:rsidR="00047D3D" w:rsidRPr="00EB1A11" w:rsidRDefault="00047D3D" w:rsidP="00EB1A11">
      <w:pPr>
        <w:spacing w:after="120" w:line="300" w:lineRule="atLeast"/>
        <w:rPr>
          <w:rFonts w:ascii="Gill Sans MT" w:hAnsi="Gill Sans MT"/>
        </w:rPr>
      </w:pPr>
      <w:r w:rsidRPr="00EB1A11">
        <w:rPr>
          <w:rFonts w:ascii="Gill Sans MT" w:hAnsi="Gill Sans MT"/>
        </w:rPr>
        <w:t xml:space="preserve">The </w:t>
      </w:r>
      <w:r w:rsidR="004B5788" w:rsidRPr="00EB1A11">
        <w:rPr>
          <w:rFonts w:ascii="Gill Sans MT" w:hAnsi="Gill Sans MT"/>
        </w:rPr>
        <w:t>Psychostimulants Advisory Committee</w:t>
      </w:r>
      <w:r w:rsidRPr="00EB1A11">
        <w:rPr>
          <w:rFonts w:ascii="Gill Sans MT" w:hAnsi="Gill Sans MT"/>
        </w:rPr>
        <w:t xml:space="preserve"> shall:</w:t>
      </w:r>
    </w:p>
    <w:p w:rsidR="006E013F" w:rsidRPr="00A658ED" w:rsidRDefault="00A96955" w:rsidP="00EB1A11">
      <w:pPr>
        <w:pStyle w:val="ListParagraph"/>
        <w:numPr>
          <w:ilvl w:val="0"/>
          <w:numId w:val="5"/>
        </w:numPr>
        <w:spacing w:after="120" w:line="300" w:lineRule="atLeast"/>
        <w:rPr>
          <w:rFonts w:ascii="Gill Sans MT" w:hAnsi="Gill Sans MT"/>
          <w:spacing w:val="-3"/>
        </w:rPr>
      </w:pPr>
      <w:r w:rsidRPr="00EB1A11">
        <w:rPr>
          <w:rFonts w:ascii="Gill Sans MT" w:hAnsi="Gill Sans MT"/>
        </w:rPr>
        <w:t>C</w:t>
      </w:r>
      <w:r w:rsidR="00047D3D" w:rsidRPr="00EB1A11">
        <w:rPr>
          <w:rFonts w:ascii="Gill Sans MT" w:hAnsi="Gill Sans MT"/>
        </w:rPr>
        <w:t xml:space="preserve">onsider authority applications and relevant information pertaining to complex cases involving treatment with </w:t>
      </w:r>
      <w:r w:rsidR="004B5788" w:rsidRPr="00EB1A11">
        <w:rPr>
          <w:rFonts w:ascii="Gill Sans MT" w:hAnsi="Gill Sans MT"/>
        </w:rPr>
        <w:t>the narcotic psychostimulants</w:t>
      </w:r>
      <w:r w:rsidR="006E013F" w:rsidRPr="00EB1A11">
        <w:rPr>
          <w:rFonts w:ascii="Gill Sans MT" w:hAnsi="Gill Sans MT"/>
        </w:rPr>
        <w:t>.</w:t>
      </w:r>
    </w:p>
    <w:p w:rsidR="00A658ED" w:rsidRPr="00EB1A11" w:rsidRDefault="00A658ED" w:rsidP="00A658ED">
      <w:pPr>
        <w:pStyle w:val="ListParagraph"/>
        <w:spacing w:after="120" w:line="300" w:lineRule="atLeast"/>
        <w:rPr>
          <w:rFonts w:ascii="Gill Sans MT" w:hAnsi="Gill Sans MT"/>
          <w:spacing w:val="-3"/>
        </w:rPr>
      </w:pPr>
    </w:p>
    <w:p w:rsidR="00A96955" w:rsidRPr="00EB1A11" w:rsidRDefault="00EE16EA" w:rsidP="00EB1A11">
      <w:pPr>
        <w:pStyle w:val="ListParagraph"/>
        <w:numPr>
          <w:ilvl w:val="0"/>
          <w:numId w:val="5"/>
        </w:numPr>
        <w:spacing w:after="120" w:line="300" w:lineRule="atLeast"/>
        <w:rPr>
          <w:rFonts w:ascii="Gill Sans MT" w:hAnsi="Gill Sans MT"/>
          <w:spacing w:val="-3"/>
        </w:rPr>
      </w:pPr>
      <w:r w:rsidRPr="00EB1A11">
        <w:rPr>
          <w:rFonts w:ascii="Gill Sans MT" w:hAnsi="Gill Sans MT"/>
        </w:rPr>
        <w:t>Give advice</w:t>
      </w:r>
      <w:r w:rsidR="00047D3D" w:rsidRPr="00EB1A11">
        <w:rPr>
          <w:rFonts w:ascii="Gill Sans MT" w:hAnsi="Gill Sans MT"/>
        </w:rPr>
        <w:t xml:space="preserve"> to the delegate </w:t>
      </w:r>
      <w:r w:rsidR="00096362" w:rsidRPr="00EB1A11">
        <w:rPr>
          <w:rFonts w:ascii="Gill Sans MT" w:hAnsi="Gill Sans MT"/>
        </w:rPr>
        <w:t>in relation to a particular application</w:t>
      </w:r>
      <w:r w:rsidR="00047D3D" w:rsidRPr="00EB1A11">
        <w:rPr>
          <w:rFonts w:ascii="Gill Sans MT" w:hAnsi="Gill Sans MT"/>
        </w:rPr>
        <w:t xml:space="preserve">. </w:t>
      </w:r>
    </w:p>
    <w:p w:rsidR="00A96955" w:rsidRPr="00EB1A11" w:rsidRDefault="00A96955" w:rsidP="00EB1A11">
      <w:pPr>
        <w:pStyle w:val="ListParagraph"/>
        <w:spacing w:after="120" w:line="300" w:lineRule="atLeast"/>
        <w:rPr>
          <w:rFonts w:ascii="Gill Sans MT" w:hAnsi="Gill Sans MT"/>
        </w:rPr>
      </w:pPr>
    </w:p>
    <w:p w:rsidR="006E013F" w:rsidRPr="00EB1A11" w:rsidRDefault="00EE16EA" w:rsidP="00EB1A11">
      <w:pPr>
        <w:pStyle w:val="ListParagraph"/>
        <w:spacing w:after="120" w:line="300" w:lineRule="atLeast"/>
        <w:rPr>
          <w:rFonts w:ascii="Gill Sans MT" w:hAnsi="Gill Sans MT"/>
          <w:b/>
        </w:rPr>
      </w:pPr>
      <w:r w:rsidRPr="00EB1A11">
        <w:rPr>
          <w:rFonts w:ascii="Gill Sans MT" w:hAnsi="Gill Sans MT"/>
        </w:rPr>
        <w:t>Advice</w:t>
      </w:r>
      <w:r w:rsidR="00047D3D" w:rsidRPr="00EB1A11">
        <w:rPr>
          <w:rFonts w:ascii="Gill Sans MT" w:hAnsi="Gill Sans MT"/>
        </w:rPr>
        <w:t xml:space="preserve"> shall be consistent with the principles of the “Quality Use of </w:t>
      </w:r>
      <w:r w:rsidR="00B36853" w:rsidRPr="00EB1A11">
        <w:rPr>
          <w:rFonts w:ascii="Gill Sans MT" w:hAnsi="Gill Sans MT"/>
        </w:rPr>
        <w:t>M</w:t>
      </w:r>
      <w:r w:rsidR="00047D3D" w:rsidRPr="00EB1A11">
        <w:rPr>
          <w:rFonts w:ascii="Gill Sans MT" w:hAnsi="Gill Sans MT"/>
        </w:rPr>
        <w:t xml:space="preserve">edicines”, </w:t>
      </w:r>
      <w:r w:rsidR="00E701D0" w:rsidRPr="00EB1A11">
        <w:rPr>
          <w:rFonts w:ascii="Gill Sans MT" w:hAnsi="Gill Sans MT"/>
        </w:rPr>
        <w:t>which is that</w:t>
      </w:r>
      <w:r w:rsidR="00047D3D" w:rsidRPr="00EB1A11">
        <w:rPr>
          <w:rFonts w:ascii="Gill Sans MT" w:hAnsi="Gill Sans MT"/>
        </w:rPr>
        <w:t xml:space="preserve"> the</w:t>
      </w:r>
      <w:r w:rsidR="008B2B4F" w:rsidRPr="00EB1A11">
        <w:rPr>
          <w:rFonts w:ascii="Gill Sans MT" w:hAnsi="Gill Sans MT"/>
        </w:rPr>
        <w:t xml:space="preserve"> regulated substances</w:t>
      </w:r>
      <w:r w:rsidR="00E15641" w:rsidRPr="00EB1A11">
        <w:rPr>
          <w:rFonts w:ascii="Gill Sans MT" w:hAnsi="Gill Sans MT"/>
        </w:rPr>
        <w:t xml:space="preserve"> are to</w:t>
      </w:r>
      <w:r w:rsidR="008B2B4F" w:rsidRPr="00EB1A11">
        <w:rPr>
          <w:rFonts w:ascii="Gill Sans MT" w:hAnsi="Gill Sans MT"/>
        </w:rPr>
        <w:t xml:space="preserve"> be used </w:t>
      </w:r>
      <w:r w:rsidR="00047D3D" w:rsidRPr="00EB1A11">
        <w:rPr>
          <w:rFonts w:ascii="Gill Sans MT" w:hAnsi="Gill Sans MT"/>
        </w:rPr>
        <w:t>safe</w:t>
      </w:r>
      <w:r w:rsidR="008B2B4F" w:rsidRPr="00EB1A11">
        <w:rPr>
          <w:rFonts w:ascii="Gill Sans MT" w:hAnsi="Gill Sans MT"/>
        </w:rPr>
        <w:t>ly</w:t>
      </w:r>
      <w:r w:rsidR="00047D3D" w:rsidRPr="00EB1A11">
        <w:rPr>
          <w:rFonts w:ascii="Gill Sans MT" w:hAnsi="Gill Sans MT"/>
        </w:rPr>
        <w:t xml:space="preserve">, </w:t>
      </w:r>
      <w:r w:rsidR="008B2B4F" w:rsidRPr="00EB1A11">
        <w:rPr>
          <w:rFonts w:ascii="Gill Sans MT" w:hAnsi="Gill Sans MT"/>
        </w:rPr>
        <w:t xml:space="preserve">judiciously, appropriately and efficaciously (The </w:t>
      </w:r>
      <w:r w:rsidR="008B2B4F" w:rsidRPr="00EB1A11">
        <w:rPr>
          <w:rFonts w:ascii="Gill Sans MT" w:hAnsi="Gill Sans MT"/>
          <w:i/>
        </w:rPr>
        <w:t>National Medicines Policy 2000</w:t>
      </w:r>
      <w:r w:rsidR="00A96955" w:rsidRPr="00EB1A11">
        <w:rPr>
          <w:rFonts w:ascii="Gill Sans MT" w:hAnsi="Gill Sans MT"/>
        </w:rPr>
        <w:t>) and t</w:t>
      </w:r>
      <w:r w:rsidR="00A96955" w:rsidRPr="00EB1A11">
        <w:rPr>
          <w:rFonts w:ascii="Gill Sans MT" w:hAnsi="Gill Sans MT"/>
          <w:spacing w:val="-3"/>
        </w:rPr>
        <w:t xml:space="preserve">he Royal Australian and New Zealand College of Psychiatrists (RANZCP) Revised Practice Guideline #6: </w:t>
      </w:r>
      <w:r w:rsidR="00A96955" w:rsidRPr="00EB1A11">
        <w:rPr>
          <w:rFonts w:ascii="Gill Sans MT" w:hAnsi="Gill Sans MT"/>
          <w:i/>
          <w:spacing w:val="-3"/>
        </w:rPr>
        <w:t>Guidelines for the use of Dexamphetamine and Methylphenidate in adults.</w:t>
      </w:r>
    </w:p>
    <w:p w:rsidR="00A658ED" w:rsidRDefault="00A658ED">
      <w:pPr>
        <w:rPr>
          <w:rFonts w:ascii="Gill Sans MT" w:hAnsi="Gill Sans MT"/>
          <w:b/>
          <w:color w:val="003052"/>
          <w:sz w:val="24"/>
          <w:szCs w:val="24"/>
        </w:rPr>
      </w:pPr>
      <w:r>
        <w:rPr>
          <w:rFonts w:ascii="Gill Sans MT" w:hAnsi="Gill Sans MT"/>
          <w:b/>
          <w:color w:val="003052"/>
          <w:sz w:val="24"/>
          <w:szCs w:val="24"/>
        </w:rPr>
        <w:br w:type="page"/>
      </w:r>
    </w:p>
    <w:p w:rsidR="00526A42" w:rsidRPr="00EB1A11" w:rsidRDefault="00526A42" w:rsidP="00EB1A11">
      <w:pPr>
        <w:spacing w:after="120" w:line="300" w:lineRule="atLeast"/>
        <w:rPr>
          <w:rFonts w:ascii="Gill Sans MT" w:hAnsi="Gill Sans MT"/>
          <w:b/>
          <w:color w:val="003052"/>
          <w:sz w:val="24"/>
          <w:szCs w:val="24"/>
        </w:rPr>
      </w:pPr>
      <w:r w:rsidRPr="00EB1A11">
        <w:rPr>
          <w:rFonts w:ascii="Gill Sans MT" w:hAnsi="Gill Sans MT"/>
          <w:b/>
          <w:color w:val="003052"/>
          <w:sz w:val="24"/>
          <w:szCs w:val="24"/>
        </w:rPr>
        <w:lastRenderedPageBreak/>
        <w:t>Referral of particular applications to the E</w:t>
      </w:r>
      <w:r w:rsidR="008C3067" w:rsidRPr="00EB1A11">
        <w:rPr>
          <w:rFonts w:ascii="Gill Sans MT" w:hAnsi="Gill Sans MT"/>
          <w:b/>
          <w:color w:val="003052"/>
          <w:sz w:val="24"/>
          <w:szCs w:val="24"/>
        </w:rPr>
        <w:t xml:space="preserve">xpert </w:t>
      </w:r>
      <w:r w:rsidRPr="00EB1A11">
        <w:rPr>
          <w:rFonts w:ascii="Gill Sans MT" w:hAnsi="Gill Sans MT"/>
          <w:b/>
          <w:color w:val="003052"/>
          <w:sz w:val="24"/>
          <w:szCs w:val="24"/>
        </w:rPr>
        <w:t>A</w:t>
      </w:r>
      <w:r w:rsidR="008C3067" w:rsidRPr="00EB1A11">
        <w:rPr>
          <w:rFonts w:ascii="Gill Sans MT" w:hAnsi="Gill Sans MT"/>
          <w:b/>
          <w:color w:val="003052"/>
          <w:sz w:val="24"/>
          <w:szCs w:val="24"/>
        </w:rPr>
        <w:t xml:space="preserve">dvisory </w:t>
      </w:r>
      <w:r w:rsidRPr="00EB1A11">
        <w:rPr>
          <w:rFonts w:ascii="Gill Sans MT" w:hAnsi="Gill Sans MT"/>
          <w:b/>
          <w:color w:val="003052"/>
          <w:sz w:val="24"/>
          <w:szCs w:val="24"/>
        </w:rPr>
        <w:t>P</w:t>
      </w:r>
      <w:r w:rsidR="008C3067" w:rsidRPr="00EB1A11">
        <w:rPr>
          <w:rFonts w:ascii="Gill Sans MT" w:hAnsi="Gill Sans MT"/>
          <w:b/>
          <w:color w:val="003052"/>
          <w:sz w:val="24"/>
          <w:szCs w:val="24"/>
        </w:rPr>
        <w:t>anel</w:t>
      </w:r>
    </w:p>
    <w:p w:rsidR="008C3067" w:rsidRPr="00EB1A11" w:rsidRDefault="008C3067" w:rsidP="00EB1A11">
      <w:pPr>
        <w:spacing w:after="120" w:line="300" w:lineRule="atLeast"/>
        <w:rPr>
          <w:rFonts w:ascii="Gill Sans MT" w:hAnsi="Gill Sans MT"/>
        </w:rPr>
      </w:pPr>
      <w:r w:rsidRPr="00EB1A11">
        <w:rPr>
          <w:rFonts w:ascii="Gill Sans MT" w:hAnsi="Gill Sans MT"/>
        </w:rPr>
        <w:t>This document should be read in conjunction with</w:t>
      </w:r>
      <w:r w:rsidR="009659F7" w:rsidRPr="00EB1A11">
        <w:rPr>
          <w:rFonts w:ascii="Gill Sans MT" w:hAnsi="Gill Sans MT"/>
        </w:rPr>
        <w:t>:</w:t>
      </w:r>
      <w:r w:rsidRPr="00EB1A11">
        <w:rPr>
          <w:rFonts w:ascii="Gill Sans MT" w:hAnsi="Gill Sans MT"/>
        </w:rPr>
        <w:t xml:space="preserve"> </w:t>
      </w:r>
    </w:p>
    <w:p w:rsidR="0061259E" w:rsidRPr="00EB1A11" w:rsidRDefault="006E013F" w:rsidP="00EB1A11">
      <w:pPr>
        <w:pStyle w:val="ListParagraph"/>
        <w:numPr>
          <w:ilvl w:val="0"/>
          <w:numId w:val="4"/>
        </w:numPr>
        <w:spacing w:after="120" w:line="300" w:lineRule="atLeast"/>
        <w:rPr>
          <w:rFonts w:ascii="Gill Sans MT" w:hAnsi="Gill Sans MT"/>
          <w:i/>
        </w:rPr>
      </w:pPr>
      <w:r w:rsidRPr="00EB1A11">
        <w:rPr>
          <w:rFonts w:ascii="Gill Sans MT" w:hAnsi="Gill Sans MT"/>
          <w:i/>
        </w:rPr>
        <w:t xml:space="preserve">Tasmanian Guidelines : </w:t>
      </w:r>
      <w:r w:rsidR="0061259E" w:rsidRPr="00EB1A11">
        <w:rPr>
          <w:rFonts w:ascii="Gill Sans MT" w:hAnsi="Gill Sans MT"/>
          <w:i/>
        </w:rPr>
        <w:t>Prescribing of Psychostimulants (Dexamphetamine and Methylphenidate) in Adults</w:t>
      </w:r>
      <w:r w:rsidR="002B3069" w:rsidRPr="00EB1A11">
        <w:rPr>
          <w:rFonts w:ascii="Gill Sans MT" w:hAnsi="Gill Sans MT"/>
          <w:i/>
        </w:rPr>
        <w:t xml:space="preserve"> (2008</w:t>
      </w:r>
      <w:r w:rsidR="00CF63F4" w:rsidRPr="00EB1A11">
        <w:rPr>
          <w:rFonts w:ascii="Gill Sans MT" w:hAnsi="Gill Sans MT"/>
          <w:i/>
        </w:rPr>
        <w:t>)</w:t>
      </w:r>
    </w:p>
    <w:p w:rsidR="002B3069" w:rsidRPr="00EB1A11" w:rsidRDefault="006E013F" w:rsidP="00EB1A11">
      <w:pPr>
        <w:pStyle w:val="ListParagraph"/>
        <w:numPr>
          <w:ilvl w:val="0"/>
          <w:numId w:val="4"/>
        </w:numPr>
        <w:spacing w:after="120" w:line="300" w:lineRule="atLeast"/>
        <w:rPr>
          <w:rFonts w:ascii="Gill Sans MT" w:hAnsi="Gill Sans MT"/>
        </w:rPr>
      </w:pPr>
      <w:r w:rsidRPr="00EB1A11">
        <w:rPr>
          <w:rFonts w:ascii="Gill Sans MT" w:hAnsi="Gill Sans MT"/>
          <w:i/>
        </w:rPr>
        <w:t xml:space="preserve">Tasmanian Guidelines: Prescribing of Psychostimulants </w:t>
      </w:r>
      <w:r w:rsidR="009659F7" w:rsidRPr="00EB1A11">
        <w:rPr>
          <w:rFonts w:ascii="Gill Sans MT" w:hAnsi="Gill Sans MT"/>
          <w:i/>
        </w:rPr>
        <w:t>- Children and Adults</w:t>
      </w:r>
      <w:r w:rsidR="002B3069" w:rsidRPr="00EB1A11">
        <w:rPr>
          <w:rFonts w:ascii="Gill Sans MT" w:hAnsi="Gill Sans MT"/>
          <w:i/>
        </w:rPr>
        <w:t xml:space="preserve"> (2008)</w:t>
      </w:r>
    </w:p>
    <w:p w:rsidR="0061259E" w:rsidRPr="00EB1A11" w:rsidRDefault="0061259E" w:rsidP="00EB1A11">
      <w:pPr>
        <w:pStyle w:val="ListParagraph"/>
        <w:numPr>
          <w:ilvl w:val="0"/>
          <w:numId w:val="4"/>
        </w:numPr>
        <w:spacing w:after="120" w:line="300" w:lineRule="atLeast"/>
        <w:rPr>
          <w:rFonts w:ascii="Gill Sans MT" w:hAnsi="Gill Sans MT"/>
        </w:rPr>
      </w:pPr>
      <w:r w:rsidRPr="00EB1A11">
        <w:rPr>
          <w:rFonts w:ascii="Gill Sans MT" w:hAnsi="Gill Sans MT"/>
          <w:i/>
        </w:rPr>
        <w:t xml:space="preserve">Clinical Practice Points on the Diagnosis, Assessment and management </w:t>
      </w:r>
      <w:r w:rsidR="00CF63F4" w:rsidRPr="00EB1A11">
        <w:rPr>
          <w:rFonts w:ascii="Gill Sans MT" w:hAnsi="Gill Sans MT"/>
          <w:i/>
        </w:rPr>
        <w:t>of ADHD in Children and Ad</w:t>
      </w:r>
      <w:r w:rsidRPr="00EB1A11">
        <w:rPr>
          <w:rFonts w:ascii="Gill Sans MT" w:hAnsi="Gill Sans MT"/>
          <w:i/>
        </w:rPr>
        <w:t>olescents (NHMRC 2012)</w:t>
      </w:r>
    </w:p>
    <w:p w:rsidR="00526A42" w:rsidRPr="00EB1A11" w:rsidRDefault="00EE16EA" w:rsidP="00EB1A11">
      <w:pPr>
        <w:spacing w:after="120" w:line="300" w:lineRule="atLeast"/>
        <w:rPr>
          <w:rFonts w:ascii="Gill Sans MT" w:hAnsi="Gill Sans MT"/>
        </w:rPr>
      </w:pPr>
      <w:r w:rsidRPr="00EB1A11">
        <w:rPr>
          <w:rFonts w:ascii="Gill Sans MT" w:hAnsi="Gill Sans MT"/>
        </w:rPr>
        <w:t>Usually a</w:t>
      </w:r>
      <w:r w:rsidR="00526A42" w:rsidRPr="00EB1A11">
        <w:rPr>
          <w:rFonts w:ascii="Gill Sans MT" w:hAnsi="Gill Sans MT"/>
        </w:rPr>
        <w:t xml:space="preserve">pplications of high risk or complexity </w:t>
      </w:r>
      <w:r w:rsidRPr="00EB1A11">
        <w:rPr>
          <w:rFonts w:ascii="Gill Sans MT" w:hAnsi="Gill Sans MT"/>
        </w:rPr>
        <w:t>are referred to</w:t>
      </w:r>
      <w:r w:rsidR="00526A42" w:rsidRPr="00EB1A11">
        <w:rPr>
          <w:rFonts w:ascii="Gill Sans MT" w:hAnsi="Gill Sans MT"/>
        </w:rPr>
        <w:t xml:space="preserve"> the </w:t>
      </w:r>
      <w:r w:rsidR="00CF63F4" w:rsidRPr="00EB1A11">
        <w:rPr>
          <w:rFonts w:ascii="Gill Sans MT" w:hAnsi="Gill Sans MT"/>
        </w:rPr>
        <w:t>PAC</w:t>
      </w:r>
      <w:r w:rsidR="00526A42" w:rsidRPr="00EB1A11">
        <w:rPr>
          <w:rFonts w:ascii="Gill Sans MT" w:hAnsi="Gill Sans MT"/>
        </w:rPr>
        <w:t xml:space="preserve"> for advice. Risk is identified as a function of age,</w:t>
      </w:r>
      <w:r w:rsidR="00A3251E" w:rsidRPr="00EB1A11">
        <w:rPr>
          <w:rFonts w:ascii="Gill Sans MT" w:hAnsi="Gill Sans MT"/>
        </w:rPr>
        <w:t xml:space="preserve"> drug,</w:t>
      </w:r>
      <w:r w:rsidR="00526A42" w:rsidRPr="00EB1A11">
        <w:rPr>
          <w:rFonts w:ascii="Gill Sans MT" w:hAnsi="Gill Sans MT"/>
        </w:rPr>
        <w:t xml:space="preserve"> dose, indication or aberrant behaviours</w:t>
      </w:r>
      <w:r w:rsidR="00A3251E" w:rsidRPr="00EB1A11">
        <w:rPr>
          <w:rFonts w:ascii="Gill Sans MT" w:hAnsi="Gill Sans MT"/>
        </w:rPr>
        <w:t>.</w:t>
      </w:r>
    </w:p>
    <w:p w:rsidR="00526A42" w:rsidRPr="00EB1A11" w:rsidRDefault="00EE16EA" w:rsidP="00EB1A11">
      <w:pPr>
        <w:spacing w:after="120" w:line="300" w:lineRule="atLeast"/>
        <w:rPr>
          <w:rFonts w:ascii="Gill Sans MT" w:hAnsi="Gill Sans MT"/>
          <w:i/>
        </w:rPr>
      </w:pPr>
      <w:r w:rsidRPr="00EB1A11">
        <w:rPr>
          <w:rFonts w:ascii="Gill Sans MT" w:hAnsi="Gill Sans MT"/>
          <w:i/>
        </w:rPr>
        <w:t>T</w:t>
      </w:r>
      <w:r w:rsidR="00A3251E" w:rsidRPr="00EB1A11">
        <w:rPr>
          <w:rFonts w:ascii="Gill Sans MT" w:hAnsi="Gill Sans MT"/>
          <w:i/>
        </w:rPr>
        <w:t xml:space="preserve">he </w:t>
      </w:r>
      <w:r w:rsidR="00AD273D" w:rsidRPr="00EB1A11">
        <w:rPr>
          <w:rFonts w:ascii="Gill Sans MT" w:hAnsi="Gill Sans MT"/>
          <w:i/>
        </w:rPr>
        <w:t>PAC</w:t>
      </w:r>
      <w:r w:rsidR="00A3251E" w:rsidRPr="00EB1A11">
        <w:rPr>
          <w:rFonts w:ascii="Gill Sans MT" w:hAnsi="Gill Sans MT"/>
          <w:i/>
        </w:rPr>
        <w:t xml:space="preserve"> could </w:t>
      </w:r>
      <w:r w:rsidRPr="00EB1A11">
        <w:rPr>
          <w:rFonts w:ascii="Gill Sans MT" w:hAnsi="Gill Sans MT"/>
          <w:i/>
        </w:rPr>
        <w:t xml:space="preserve">typically </w:t>
      </w:r>
      <w:r w:rsidR="00A3251E" w:rsidRPr="00EB1A11">
        <w:rPr>
          <w:rFonts w:ascii="Gill Sans MT" w:hAnsi="Gill Sans MT"/>
          <w:i/>
        </w:rPr>
        <w:t>expect to review</w:t>
      </w:r>
      <w:r w:rsidR="00802AA0" w:rsidRPr="00EB1A11">
        <w:rPr>
          <w:rFonts w:ascii="Gill Sans MT" w:hAnsi="Gill Sans MT"/>
          <w:i/>
        </w:rPr>
        <w:t xml:space="preserve"> </w:t>
      </w:r>
      <w:r w:rsidR="006E013F" w:rsidRPr="00EB1A11">
        <w:rPr>
          <w:rFonts w:ascii="Gill Sans MT" w:hAnsi="Gill Sans MT"/>
          <w:i/>
        </w:rPr>
        <w:t>an exceptional application</w:t>
      </w:r>
      <w:r w:rsidR="00EE7FB3" w:rsidRPr="00EB1A11">
        <w:rPr>
          <w:rFonts w:ascii="Gill Sans MT" w:hAnsi="Gill Sans MT"/>
          <w:i/>
        </w:rPr>
        <w:t xml:space="preserve"> where</w:t>
      </w:r>
      <w:r w:rsidR="00802AA0" w:rsidRPr="00EB1A11">
        <w:rPr>
          <w:rFonts w:ascii="Gill Sans MT" w:hAnsi="Gill Sans MT"/>
          <w:i/>
        </w:rPr>
        <w:t>:</w:t>
      </w:r>
    </w:p>
    <w:p w:rsidR="00A62999" w:rsidRPr="00EB1A11" w:rsidRDefault="00A62999" w:rsidP="00EB1A11">
      <w:pPr>
        <w:pStyle w:val="ListParagraph"/>
        <w:numPr>
          <w:ilvl w:val="0"/>
          <w:numId w:val="3"/>
        </w:numPr>
        <w:spacing w:after="120" w:line="300" w:lineRule="atLeast"/>
        <w:rPr>
          <w:rFonts w:ascii="Gill Sans MT" w:hAnsi="Gill Sans MT"/>
          <w:i/>
        </w:rPr>
      </w:pPr>
      <w:r w:rsidRPr="00EB1A11">
        <w:rPr>
          <w:rFonts w:ascii="Gill Sans MT" w:hAnsi="Gill Sans MT"/>
          <w:i/>
        </w:rPr>
        <w:t>Treatment is for a condition other than ADHD or narcolepsy</w:t>
      </w:r>
    </w:p>
    <w:p w:rsidR="00EE7FB3" w:rsidRPr="00EB1A11" w:rsidRDefault="00EE7FB3" w:rsidP="00EB1A11">
      <w:pPr>
        <w:pStyle w:val="ListParagraph"/>
        <w:numPr>
          <w:ilvl w:val="0"/>
          <w:numId w:val="3"/>
        </w:numPr>
        <w:spacing w:after="120" w:line="300" w:lineRule="atLeast"/>
        <w:rPr>
          <w:rFonts w:ascii="Gill Sans MT" w:hAnsi="Gill Sans MT"/>
          <w:i/>
        </w:rPr>
      </w:pPr>
      <w:r w:rsidRPr="00EB1A11">
        <w:rPr>
          <w:rFonts w:ascii="Gill Sans MT" w:hAnsi="Gill Sans MT"/>
          <w:i/>
        </w:rPr>
        <w:t>There is a history of substance misuse or dependency, including past or present treatment for dependency</w:t>
      </w:r>
    </w:p>
    <w:p w:rsidR="00802AA0" w:rsidRPr="00EB1A11" w:rsidRDefault="00EE7FB3" w:rsidP="00EB1A11">
      <w:pPr>
        <w:pStyle w:val="ListParagraph"/>
        <w:numPr>
          <w:ilvl w:val="0"/>
          <w:numId w:val="3"/>
        </w:numPr>
        <w:spacing w:after="120" w:line="300" w:lineRule="atLeast"/>
        <w:rPr>
          <w:rFonts w:ascii="Gill Sans MT" w:hAnsi="Gill Sans MT"/>
          <w:i/>
        </w:rPr>
      </w:pPr>
      <w:r w:rsidRPr="00EB1A11">
        <w:rPr>
          <w:rFonts w:ascii="Gill Sans MT" w:hAnsi="Gill Sans MT"/>
          <w:i/>
        </w:rPr>
        <w:t>P</w:t>
      </w:r>
      <w:r w:rsidR="00802AA0" w:rsidRPr="00EB1A11">
        <w:rPr>
          <w:rFonts w:ascii="Gill Sans MT" w:hAnsi="Gill Sans MT"/>
          <w:i/>
        </w:rPr>
        <w:t>atients</w:t>
      </w:r>
      <w:r w:rsidRPr="00EB1A11">
        <w:rPr>
          <w:rFonts w:ascii="Gill Sans MT" w:hAnsi="Gill Sans MT"/>
          <w:i/>
        </w:rPr>
        <w:t xml:space="preserve"> are</w:t>
      </w:r>
      <w:r w:rsidR="00802AA0" w:rsidRPr="00EB1A11">
        <w:rPr>
          <w:rFonts w:ascii="Gill Sans MT" w:hAnsi="Gill Sans MT"/>
          <w:i/>
        </w:rPr>
        <w:t xml:space="preserve"> outside the age criteria</w:t>
      </w:r>
    </w:p>
    <w:p w:rsidR="00802AA0" w:rsidRPr="00EB1A11" w:rsidRDefault="00EE7FB3" w:rsidP="00EB1A11">
      <w:pPr>
        <w:pStyle w:val="ListParagraph"/>
        <w:numPr>
          <w:ilvl w:val="0"/>
          <w:numId w:val="3"/>
        </w:numPr>
        <w:spacing w:after="120" w:line="300" w:lineRule="atLeast"/>
        <w:rPr>
          <w:rFonts w:ascii="Gill Sans MT" w:hAnsi="Gill Sans MT"/>
          <w:i/>
        </w:rPr>
      </w:pPr>
      <w:r w:rsidRPr="00EB1A11">
        <w:rPr>
          <w:rFonts w:ascii="Gill Sans MT" w:hAnsi="Gill Sans MT"/>
          <w:i/>
        </w:rPr>
        <w:t>D</w:t>
      </w:r>
      <w:r w:rsidR="00802AA0" w:rsidRPr="00EB1A11">
        <w:rPr>
          <w:rFonts w:ascii="Gill Sans MT" w:hAnsi="Gill Sans MT"/>
          <w:i/>
        </w:rPr>
        <w:t>oses</w:t>
      </w:r>
      <w:r w:rsidRPr="00EB1A11">
        <w:rPr>
          <w:rFonts w:ascii="Gill Sans MT" w:hAnsi="Gill Sans MT"/>
          <w:i/>
        </w:rPr>
        <w:t xml:space="preserve"> are</w:t>
      </w:r>
      <w:r w:rsidR="00802AA0" w:rsidRPr="00EB1A11">
        <w:rPr>
          <w:rFonts w:ascii="Gill Sans MT" w:hAnsi="Gill Sans MT"/>
          <w:i/>
        </w:rPr>
        <w:t xml:space="preserve"> in excess of the specified maximums</w:t>
      </w:r>
      <w:r w:rsidR="00AD273D" w:rsidRPr="00EB1A11">
        <w:rPr>
          <w:rFonts w:ascii="Gill Sans MT" w:hAnsi="Gill Sans MT"/>
          <w:i/>
        </w:rPr>
        <w:t xml:space="preserve"> that are national</w:t>
      </w:r>
      <w:r w:rsidR="00A41318" w:rsidRPr="00EB1A11">
        <w:rPr>
          <w:rFonts w:ascii="Gill Sans MT" w:hAnsi="Gill Sans MT"/>
          <w:i/>
        </w:rPr>
        <w:t>ly</w:t>
      </w:r>
      <w:r w:rsidR="00AD273D" w:rsidRPr="00EB1A11">
        <w:rPr>
          <w:rFonts w:ascii="Gill Sans MT" w:hAnsi="Gill Sans MT"/>
          <w:i/>
        </w:rPr>
        <w:t xml:space="preserve"> recommended.</w:t>
      </w:r>
    </w:p>
    <w:p w:rsidR="00802AA0" w:rsidRPr="00EB1A11" w:rsidRDefault="00802AA0" w:rsidP="00EB1A11">
      <w:pPr>
        <w:pStyle w:val="ListParagraph"/>
        <w:numPr>
          <w:ilvl w:val="0"/>
          <w:numId w:val="3"/>
        </w:numPr>
        <w:spacing w:after="120" w:line="300" w:lineRule="atLeast"/>
        <w:rPr>
          <w:rFonts w:ascii="Gill Sans MT" w:hAnsi="Gill Sans MT"/>
          <w:i/>
        </w:rPr>
      </w:pPr>
      <w:r w:rsidRPr="00EB1A11">
        <w:rPr>
          <w:rFonts w:ascii="Gill Sans MT" w:hAnsi="Gill Sans MT"/>
          <w:i/>
        </w:rPr>
        <w:t>the DSM-IV criteria for ADHD are not fulfilled</w:t>
      </w:r>
    </w:p>
    <w:p w:rsidR="00802AA0" w:rsidRPr="00EB1A11" w:rsidRDefault="00802AA0" w:rsidP="00EB1A11">
      <w:pPr>
        <w:pStyle w:val="ListParagraph"/>
        <w:numPr>
          <w:ilvl w:val="0"/>
          <w:numId w:val="3"/>
        </w:numPr>
        <w:spacing w:after="120" w:line="300" w:lineRule="atLeast"/>
        <w:rPr>
          <w:rFonts w:ascii="Gill Sans MT" w:hAnsi="Gill Sans MT"/>
          <w:i/>
        </w:rPr>
      </w:pPr>
      <w:r w:rsidRPr="00EB1A11">
        <w:rPr>
          <w:rFonts w:ascii="Gill Sans MT" w:hAnsi="Gill Sans MT"/>
          <w:i/>
        </w:rPr>
        <w:t>patient</w:t>
      </w:r>
      <w:r w:rsidR="00EE7FB3" w:rsidRPr="00EB1A11">
        <w:rPr>
          <w:rFonts w:ascii="Gill Sans MT" w:hAnsi="Gill Sans MT"/>
          <w:i/>
        </w:rPr>
        <w:t>s</w:t>
      </w:r>
      <w:r w:rsidRPr="00EB1A11">
        <w:rPr>
          <w:rFonts w:ascii="Gill Sans MT" w:hAnsi="Gill Sans MT"/>
          <w:i/>
        </w:rPr>
        <w:t xml:space="preserve"> experience </w:t>
      </w:r>
      <w:r w:rsidR="00A62999" w:rsidRPr="00EB1A11">
        <w:rPr>
          <w:rFonts w:ascii="Gill Sans MT" w:hAnsi="Gill Sans MT"/>
          <w:i/>
        </w:rPr>
        <w:t>significant side effects</w:t>
      </w:r>
    </w:p>
    <w:p w:rsidR="00A62999" w:rsidRPr="00EB1A11" w:rsidRDefault="00A62999" w:rsidP="00EB1A11">
      <w:pPr>
        <w:pStyle w:val="ListParagraph"/>
        <w:numPr>
          <w:ilvl w:val="0"/>
          <w:numId w:val="3"/>
        </w:numPr>
        <w:spacing w:after="120" w:line="300" w:lineRule="atLeast"/>
        <w:rPr>
          <w:rFonts w:ascii="Gill Sans MT" w:hAnsi="Gill Sans MT"/>
          <w:i/>
        </w:rPr>
      </w:pPr>
      <w:r w:rsidRPr="00EB1A11">
        <w:rPr>
          <w:rFonts w:ascii="Gill Sans MT" w:hAnsi="Gill Sans MT"/>
          <w:i/>
        </w:rPr>
        <w:t>there is severe psychiatric co-morbidity</w:t>
      </w:r>
    </w:p>
    <w:p w:rsidR="00A62999" w:rsidRPr="00EB1A11" w:rsidRDefault="00A62999" w:rsidP="00EB1A11">
      <w:pPr>
        <w:pStyle w:val="ListParagraph"/>
        <w:numPr>
          <w:ilvl w:val="0"/>
          <w:numId w:val="3"/>
        </w:numPr>
        <w:spacing w:after="120" w:line="300" w:lineRule="atLeast"/>
        <w:rPr>
          <w:rFonts w:ascii="Gill Sans MT" w:hAnsi="Gill Sans MT"/>
          <w:i/>
        </w:rPr>
      </w:pPr>
      <w:r w:rsidRPr="00EB1A11">
        <w:rPr>
          <w:rFonts w:ascii="Gill Sans MT" w:hAnsi="Gill Sans MT"/>
          <w:i/>
        </w:rPr>
        <w:t>a patient has a sever</w:t>
      </w:r>
      <w:r w:rsidR="00427041" w:rsidRPr="00EB1A11">
        <w:rPr>
          <w:rFonts w:ascii="Gill Sans MT" w:hAnsi="Gill Sans MT"/>
          <w:i/>
        </w:rPr>
        <w:t>e</w:t>
      </w:r>
      <w:r w:rsidRPr="00EB1A11">
        <w:rPr>
          <w:rFonts w:ascii="Gill Sans MT" w:hAnsi="Gill Sans MT"/>
          <w:i/>
        </w:rPr>
        <w:t xml:space="preserve"> tic causing significant impa</w:t>
      </w:r>
      <w:r w:rsidR="00EE7FB3" w:rsidRPr="00EB1A11">
        <w:rPr>
          <w:rFonts w:ascii="Gill Sans MT" w:hAnsi="Gill Sans MT"/>
          <w:i/>
        </w:rPr>
        <w:t>irment and distress or it requires</w:t>
      </w:r>
      <w:r w:rsidRPr="00EB1A11">
        <w:rPr>
          <w:rFonts w:ascii="Gill Sans MT" w:hAnsi="Gill Sans MT"/>
          <w:i/>
        </w:rPr>
        <w:t xml:space="preserve"> treatment in its own right</w:t>
      </w:r>
    </w:p>
    <w:p w:rsidR="00A658ED" w:rsidRPr="00A658ED" w:rsidRDefault="00EE7FB3" w:rsidP="00A658ED">
      <w:pPr>
        <w:pStyle w:val="ListParagraph"/>
        <w:numPr>
          <w:ilvl w:val="0"/>
          <w:numId w:val="3"/>
        </w:numPr>
        <w:spacing w:after="120" w:line="300" w:lineRule="atLeast"/>
        <w:rPr>
          <w:rFonts w:ascii="Gill Sans MT" w:hAnsi="Gill Sans MT"/>
          <w:i/>
        </w:rPr>
      </w:pPr>
      <w:r w:rsidRPr="00EB1A11">
        <w:rPr>
          <w:rFonts w:ascii="Gill Sans MT" w:hAnsi="Gill Sans MT"/>
          <w:i/>
        </w:rPr>
        <w:t>authorisation is requested for excessive daytime sleepiness without a positive sleep study</w:t>
      </w:r>
      <w:r w:rsidR="00A658ED">
        <w:rPr>
          <w:rFonts w:ascii="Gill Sans MT" w:hAnsi="Gill Sans MT"/>
          <w:i/>
        </w:rPr>
        <w:t xml:space="preserve"> </w:t>
      </w:r>
    </w:p>
    <w:p w:rsidR="00EB1A11" w:rsidRPr="00EB1A11" w:rsidRDefault="00EB1A11" w:rsidP="00EB1A11">
      <w:pPr>
        <w:pStyle w:val="NoSpacing"/>
        <w:spacing w:after="120" w:line="300" w:lineRule="atLeast"/>
        <w:rPr>
          <w:rFonts w:ascii="Gill Sans MT" w:hAnsi="Gill Sans MT"/>
          <w:sz w:val="24"/>
          <w:szCs w:val="24"/>
        </w:rPr>
      </w:pPr>
      <w:r w:rsidRPr="00EB1A11">
        <w:rPr>
          <w:rFonts w:ascii="Gill Sans MT" w:hAnsi="Gill Sans MT"/>
          <w:b/>
          <w:color w:val="003052"/>
          <w:sz w:val="24"/>
          <w:szCs w:val="24"/>
        </w:rPr>
        <w:t>Membership</w:t>
      </w:r>
      <w:r w:rsidRPr="00EB1A11">
        <w:rPr>
          <w:rFonts w:ascii="Gill Sans MT" w:hAnsi="Gill Sans MT"/>
          <w:sz w:val="24"/>
          <w:szCs w:val="24"/>
        </w:rPr>
        <w:t xml:space="preserve"> </w:t>
      </w:r>
    </w:p>
    <w:p w:rsidR="002B3069" w:rsidRPr="00EB1A11" w:rsidRDefault="00CF63F4" w:rsidP="00EB1A11">
      <w:pPr>
        <w:pStyle w:val="NoSpacing"/>
        <w:numPr>
          <w:ilvl w:val="0"/>
          <w:numId w:val="6"/>
        </w:numPr>
        <w:spacing w:after="120" w:line="300" w:lineRule="atLeast"/>
        <w:rPr>
          <w:rFonts w:ascii="Gill Sans MT" w:hAnsi="Gill Sans MT"/>
        </w:rPr>
      </w:pPr>
      <w:r w:rsidRPr="00EB1A11">
        <w:rPr>
          <w:rFonts w:ascii="Gill Sans MT" w:hAnsi="Gill Sans MT"/>
        </w:rPr>
        <w:t>Two</w:t>
      </w:r>
      <w:r w:rsidR="008B2B4F" w:rsidRPr="00EB1A11">
        <w:rPr>
          <w:rFonts w:ascii="Gill Sans MT" w:hAnsi="Gill Sans MT"/>
        </w:rPr>
        <w:t xml:space="preserve"> medical practitioner</w:t>
      </w:r>
      <w:r w:rsidRPr="00EB1A11">
        <w:rPr>
          <w:rFonts w:ascii="Gill Sans MT" w:hAnsi="Gill Sans MT"/>
        </w:rPr>
        <w:t>s</w:t>
      </w:r>
      <w:r w:rsidR="008B2B4F" w:rsidRPr="00EB1A11">
        <w:rPr>
          <w:rFonts w:ascii="Gill Sans MT" w:hAnsi="Gill Sans MT"/>
        </w:rPr>
        <w:t xml:space="preserve"> with specialist qualifications</w:t>
      </w:r>
      <w:r w:rsidR="00B36853" w:rsidRPr="00EB1A11">
        <w:rPr>
          <w:rFonts w:ascii="Gill Sans MT" w:hAnsi="Gill Sans MT"/>
        </w:rPr>
        <w:t xml:space="preserve"> </w:t>
      </w:r>
      <w:r w:rsidRPr="00EB1A11">
        <w:rPr>
          <w:rFonts w:ascii="Gill Sans MT" w:hAnsi="Gill Sans MT"/>
        </w:rPr>
        <w:t>in psychiatry</w:t>
      </w:r>
      <w:r w:rsidR="002B3069" w:rsidRPr="00EB1A11">
        <w:rPr>
          <w:rFonts w:ascii="Gill Sans MT" w:hAnsi="Gill Sans MT"/>
        </w:rPr>
        <w:t xml:space="preserve"> </w:t>
      </w:r>
      <w:r w:rsidR="00A41318" w:rsidRPr="00EB1A11">
        <w:rPr>
          <w:rFonts w:ascii="Gill Sans MT" w:hAnsi="Gill Sans MT"/>
        </w:rPr>
        <w:t>with on</w:t>
      </w:r>
      <w:r w:rsidR="002B3069" w:rsidRPr="00EB1A11">
        <w:rPr>
          <w:rFonts w:ascii="Gill Sans MT" w:hAnsi="Gill Sans MT"/>
        </w:rPr>
        <w:t>e member endorsed by the RANZCP.</w:t>
      </w:r>
    </w:p>
    <w:p w:rsidR="002B3069" w:rsidRPr="00EB1A11" w:rsidRDefault="008B2B4F" w:rsidP="00EB1A11">
      <w:pPr>
        <w:pStyle w:val="NoSpacing"/>
        <w:numPr>
          <w:ilvl w:val="0"/>
          <w:numId w:val="6"/>
        </w:numPr>
        <w:spacing w:after="120" w:line="300" w:lineRule="atLeast"/>
        <w:rPr>
          <w:rFonts w:ascii="Gill Sans MT" w:hAnsi="Gill Sans MT"/>
        </w:rPr>
      </w:pPr>
      <w:r w:rsidRPr="00EB1A11">
        <w:rPr>
          <w:rFonts w:ascii="Gill Sans MT" w:hAnsi="Gill Sans MT"/>
        </w:rPr>
        <w:t>A medical practitioner with specialist qualifications</w:t>
      </w:r>
      <w:r w:rsidR="00B36853" w:rsidRPr="00EB1A11">
        <w:rPr>
          <w:rFonts w:ascii="Gill Sans MT" w:hAnsi="Gill Sans MT"/>
        </w:rPr>
        <w:t xml:space="preserve"> and/or experience</w:t>
      </w:r>
      <w:r w:rsidRPr="00EB1A11">
        <w:rPr>
          <w:rFonts w:ascii="Gill Sans MT" w:hAnsi="Gill Sans MT"/>
        </w:rPr>
        <w:t xml:space="preserve"> in the treatment of drug dependence</w:t>
      </w:r>
      <w:r w:rsidR="0060018B" w:rsidRPr="00EB1A11">
        <w:rPr>
          <w:rFonts w:ascii="Gill Sans MT" w:hAnsi="Gill Sans MT"/>
        </w:rPr>
        <w:t>.</w:t>
      </w:r>
    </w:p>
    <w:p w:rsidR="00EE16EA" w:rsidRPr="00EB1A11" w:rsidRDefault="00EE16EA" w:rsidP="00EB1A11">
      <w:pPr>
        <w:pStyle w:val="NoSpacing"/>
        <w:numPr>
          <w:ilvl w:val="0"/>
          <w:numId w:val="6"/>
        </w:numPr>
        <w:spacing w:after="120" w:line="300" w:lineRule="atLeast"/>
        <w:rPr>
          <w:rFonts w:ascii="Gill Sans MT" w:hAnsi="Gill Sans MT"/>
        </w:rPr>
      </w:pPr>
      <w:r w:rsidRPr="00EB1A11">
        <w:rPr>
          <w:rFonts w:ascii="Gill Sans MT" w:hAnsi="Gill Sans MT"/>
        </w:rPr>
        <w:t>Other medical advisers may be co-opted as required.</w:t>
      </w:r>
    </w:p>
    <w:p w:rsidR="00583516" w:rsidRPr="00EB1A11" w:rsidRDefault="00583516" w:rsidP="00EB1A11">
      <w:pPr>
        <w:spacing w:after="120" w:line="300" w:lineRule="atLeast"/>
        <w:rPr>
          <w:rFonts w:ascii="Gill Sans MT" w:hAnsi="Gill Sans MT"/>
          <w:b/>
          <w:color w:val="003052"/>
          <w:sz w:val="24"/>
          <w:szCs w:val="24"/>
        </w:rPr>
      </w:pPr>
      <w:r w:rsidRPr="00EB1A11">
        <w:rPr>
          <w:rFonts w:ascii="Gill Sans MT" w:hAnsi="Gill Sans MT"/>
          <w:b/>
          <w:color w:val="003052"/>
          <w:sz w:val="24"/>
          <w:szCs w:val="24"/>
        </w:rPr>
        <w:t>Chair</w:t>
      </w:r>
    </w:p>
    <w:p w:rsidR="00E15641" w:rsidRPr="00EB1A11" w:rsidRDefault="00EE16EA" w:rsidP="00EB1A11">
      <w:pPr>
        <w:spacing w:after="120" w:line="300" w:lineRule="atLeast"/>
        <w:rPr>
          <w:rFonts w:ascii="Gill Sans MT" w:hAnsi="Gill Sans MT"/>
        </w:rPr>
      </w:pPr>
      <w:r w:rsidRPr="00EB1A11">
        <w:rPr>
          <w:rFonts w:ascii="Gill Sans MT" w:hAnsi="Gill Sans MT"/>
        </w:rPr>
        <w:t>One of the members of the panel will act as the chair</w:t>
      </w:r>
      <w:r w:rsidR="002B3069" w:rsidRPr="00EB1A11">
        <w:rPr>
          <w:rFonts w:ascii="Gill Sans MT" w:hAnsi="Gill Sans MT"/>
        </w:rPr>
        <w:t xml:space="preserve"> for any particular case.</w:t>
      </w:r>
    </w:p>
    <w:p w:rsidR="00583516" w:rsidRPr="00EB1A11" w:rsidRDefault="00B36853" w:rsidP="00EB1A11">
      <w:pPr>
        <w:spacing w:after="120" w:line="300" w:lineRule="atLeast"/>
        <w:rPr>
          <w:rFonts w:ascii="Gill Sans MT" w:hAnsi="Gill Sans MT"/>
          <w:b/>
          <w:color w:val="003052"/>
          <w:sz w:val="24"/>
          <w:szCs w:val="24"/>
        </w:rPr>
      </w:pPr>
      <w:r w:rsidRPr="00EB1A11">
        <w:rPr>
          <w:rFonts w:ascii="Gill Sans MT" w:hAnsi="Gill Sans MT"/>
          <w:b/>
          <w:color w:val="003052"/>
          <w:sz w:val="24"/>
          <w:szCs w:val="24"/>
        </w:rPr>
        <w:t>Quorum</w:t>
      </w:r>
    </w:p>
    <w:p w:rsidR="00E15641" w:rsidRPr="00EB1A11" w:rsidRDefault="00E15641" w:rsidP="00EB1A11">
      <w:pPr>
        <w:spacing w:after="120" w:line="300" w:lineRule="atLeast"/>
        <w:rPr>
          <w:rFonts w:ascii="Gill Sans MT" w:hAnsi="Gill Sans MT"/>
        </w:rPr>
      </w:pPr>
      <w:r w:rsidRPr="00EB1A11">
        <w:rPr>
          <w:rFonts w:ascii="Gill Sans MT" w:hAnsi="Gill Sans MT"/>
        </w:rPr>
        <w:t>Two members</w:t>
      </w:r>
      <w:r w:rsidR="00864FF9" w:rsidRPr="00EB1A11">
        <w:rPr>
          <w:rFonts w:ascii="Gill Sans MT" w:hAnsi="Gill Sans MT"/>
        </w:rPr>
        <w:t xml:space="preserve"> and where the advice relates to drug dependence one me</w:t>
      </w:r>
      <w:r w:rsidR="00A41318" w:rsidRPr="00EB1A11">
        <w:rPr>
          <w:rFonts w:ascii="Gill Sans MT" w:hAnsi="Gill Sans MT"/>
        </w:rPr>
        <w:t>m</w:t>
      </w:r>
      <w:r w:rsidR="00864FF9" w:rsidRPr="00EB1A11">
        <w:rPr>
          <w:rFonts w:ascii="Gill Sans MT" w:hAnsi="Gill Sans MT"/>
        </w:rPr>
        <w:t>ber to have experience in the treatment of drug dependence.</w:t>
      </w:r>
    </w:p>
    <w:p w:rsidR="002B3069" w:rsidRPr="00EB1A11" w:rsidRDefault="002B3069" w:rsidP="00EB1A11">
      <w:pPr>
        <w:spacing w:after="120" w:line="300" w:lineRule="atLeast"/>
        <w:rPr>
          <w:rFonts w:ascii="Gill Sans MT" w:hAnsi="Gill Sans MT"/>
          <w:b/>
          <w:color w:val="003052"/>
          <w:sz w:val="24"/>
          <w:szCs w:val="24"/>
        </w:rPr>
      </w:pPr>
      <w:r w:rsidRPr="00EB1A11">
        <w:rPr>
          <w:rFonts w:ascii="Gill Sans MT" w:hAnsi="Gill Sans MT"/>
          <w:b/>
          <w:color w:val="003052"/>
          <w:sz w:val="24"/>
          <w:szCs w:val="24"/>
        </w:rPr>
        <w:t>Review</w:t>
      </w:r>
    </w:p>
    <w:p w:rsidR="002B3069" w:rsidRPr="00EB1A11" w:rsidRDefault="002B3069" w:rsidP="00EB1A11">
      <w:pPr>
        <w:spacing w:after="120" w:line="300" w:lineRule="atLeast"/>
        <w:rPr>
          <w:rFonts w:ascii="Gill Sans MT" w:hAnsi="Gill Sans MT"/>
        </w:rPr>
      </w:pPr>
      <w:r w:rsidRPr="00EB1A11">
        <w:rPr>
          <w:rFonts w:ascii="Gill Sans MT" w:hAnsi="Gill Sans MT"/>
        </w:rPr>
        <w:t xml:space="preserve">A medical practitioner can request a review of the terms of an authority issued to them and </w:t>
      </w:r>
      <w:r w:rsidR="00A41318" w:rsidRPr="00EB1A11">
        <w:rPr>
          <w:rFonts w:ascii="Gill Sans MT" w:hAnsi="Gill Sans MT"/>
        </w:rPr>
        <w:t>the grounds for such a request are</w:t>
      </w:r>
      <w:r w:rsidRPr="00EB1A11">
        <w:rPr>
          <w:rFonts w:ascii="Gill Sans MT" w:hAnsi="Gill Sans MT"/>
        </w:rPr>
        <w:t xml:space="preserve"> not limited.  The request may be clinical in nature or relate to other facts relevant to the application.</w:t>
      </w:r>
    </w:p>
    <w:p w:rsidR="002B3069" w:rsidRPr="00EB1A11" w:rsidRDefault="002B3069" w:rsidP="00EB1A11">
      <w:pPr>
        <w:spacing w:after="120" w:line="300" w:lineRule="atLeast"/>
        <w:rPr>
          <w:rFonts w:ascii="Gill Sans MT" w:hAnsi="Gill Sans MT"/>
        </w:rPr>
      </w:pPr>
      <w:r w:rsidRPr="00EB1A11">
        <w:rPr>
          <w:rFonts w:ascii="Gill Sans MT" w:hAnsi="Gill Sans MT"/>
        </w:rPr>
        <w:t>A patient or their carer may request a review in respect of the authority issued to thei</w:t>
      </w:r>
      <w:r w:rsidR="00BA2952" w:rsidRPr="00EB1A11">
        <w:rPr>
          <w:rFonts w:ascii="Gill Sans MT" w:hAnsi="Gill Sans MT"/>
        </w:rPr>
        <w:t>r medical practitioner for</w:t>
      </w:r>
      <w:r w:rsidRPr="00EB1A11">
        <w:rPr>
          <w:rFonts w:ascii="Gill Sans MT" w:hAnsi="Gill Sans MT"/>
        </w:rPr>
        <w:t xml:space="preserve"> treatment</w:t>
      </w:r>
      <w:r w:rsidR="00BA2952" w:rsidRPr="00EB1A11">
        <w:rPr>
          <w:rFonts w:ascii="Gill Sans MT" w:hAnsi="Gill Sans MT"/>
        </w:rPr>
        <w:t xml:space="preserve"> of the patient</w:t>
      </w:r>
      <w:r w:rsidR="00864FF9" w:rsidRPr="00EB1A11">
        <w:rPr>
          <w:rFonts w:ascii="Gill Sans MT" w:hAnsi="Gill Sans MT"/>
        </w:rPr>
        <w:t>.</w:t>
      </w:r>
    </w:p>
    <w:p w:rsidR="00864FF9" w:rsidRPr="00EB1A11" w:rsidRDefault="00864FF9" w:rsidP="00EB1A11">
      <w:pPr>
        <w:spacing w:after="120" w:line="300" w:lineRule="atLeast"/>
        <w:rPr>
          <w:rFonts w:ascii="Gill Sans MT" w:hAnsi="Gill Sans MT"/>
        </w:rPr>
      </w:pPr>
      <w:r w:rsidRPr="00EB1A11">
        <w:rPr>
          <w:rFonts w:ascii="Gill Sans MT" w:hAnsi="Gill Sans MT"/>
        </w:rPr>
        <w:t xml:space="preserve">Copies of the forms for such a request are available on the website </w:t>
      </w:r>
      <w:hyperlink r:id="rId11" w:history="1">
        <w:r w:rsidRPr="00EB1A11">
          <w:rPr>
            <w:rStyle w:val="Hyperlink"/>
            <w:rFonts w:ascii="Gill Sans MT" w:hAnsi="Gill Sans MT"/>
          </w:rPr>
          <w:t>www.dhhs.tas.gov.au/psbtas</w:t>
        </w:r>
      </w:hyperlink>
    </w:p>
    <w:sectPr w:rsidR="00864FF9" w:rsidRPr="00EB1A11" w:rsidSect="002B3069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01" w:rsidRDefault="00EC2001" w:rsidP="008C3067">
      <w:pPr>
        <w:spacing w:after="0" w:line="240" w:lineRule="auto"/>
      </w:pPr>
      <w:r>
        <w:separator/>
      </w:r>
    </w:p>
  </w:endnote>
  <w:endnote w:type="continuationSeparator" w:id="0">
    <w:p w:rsidR="00EC2001" w:rsidRDefault="00EC2001" w:rsidP="008C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01" w:rsidRDefault="00EC2001" w:rsidP="008C3067">
      <w:pPr>
        <w:spacing w:after="0" w:line="240" w:lineRule="auto"/>
      </w:pPr>
      <w:r>
        <w:separator/>
      </w:r>
    </w:p>
  </w:footnote>
  <w:footnote w:type="continuationSeparator" w:id="0">
    <w:p w:rsidR="00EC2001" w:rsidRDefault="00EC2001" w:rsidP="008C3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71"/>
    <w:multiLevelType w:val="hybridMultilevel"/>
    <w:tmpl w:val="3C12D0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3088"/>
    <w:multiLevelType w:val="hybridMultilevel"/>
    <w:tmpl w:val="F9D85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A7DFF"/>
    <w:multiLevelType w:val="hybridMultilevel"/>
    <w:tmpl w:val="D3002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64417"/>
    <w:multiLevelType w:val="hybridMultilevel"/>
    <w:tmpl w:val="E4B48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71DD6"/>
    <w:multiLevelType w:val="singleLevel"/>
    <w:tmpl w:val="A1C8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8D37A2F"/>
    <w:multiLevelType w:val="hybridMultilevel"/>
    <w:tmpl w:val="5F1E8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16"/>
    <w:rsid w:val="00015011"/>
    <w:rsid w:val="00047D3D"/>
    <w:rsid w:val="00096362"/>
    <w:rsid w:val="000B0EA7"/>
    <w:rsid w:val="000F3C70"/>
    <w:rsid w:val="00106736"/>
    <w:rsid w:val="00194901"/>
    <w:rsid w:val="001A5E52"/>
    <w:rsid w:val="002A0A86"/>
    <w:rsid w:val="002B3069"/>
    <w:rsid w:val="00400C11"/>
    <w:rsid w:val="00427041"/>
    <w:rsid w:val="004345E4"/>
    <w:rsid w:val="004B5788"/>
    <w:rsid w:val="00526A42"/>
    <w:rsid w:val="00556D0E"/>
    <w:rsid w:val="00583516"/>
    <w:rsid w:val="0060018B"/>
    <w:rsid w:val="0061259E"/>
    <w:rsid w:val="006E013F"/>
    <w:rsid w:val="00754733"/>
    <w:rsid w:val="007D5256"/>
    <w:rsid w:val="00802AA0"/>
    <w:rsid w:val="008150A4"/>
    <w:rsid w:val="00864FF9"/>
    <w:rsid w:val="008B2B4F"/>
    <w:rsid w:val="008C3067"/>
    <w:rsid w:val="00913C93"/>
    <w:rsid w:val="00937BBF"/>
    <w:rsid w:val="00957510"/>
    <w:rsid w:val="009659F7"/>
    <w:rsid w:val="00A3251E"/>
    <w:rsid w:val="00A41318"/>
    <w:rsid w:val="00A62999"/>
    <w:rsid w:val="00A658ED"/>
    <w:rsid w:val="00A96955"/>
    <w:rsid w:val="00AD273D"/>
    <w:rsid w:val="00B36853"/>
    <w:rsid w:val="00B43846"/>
    <w:rsid w:val="00B96C3C"/>
    <w:rsid w:val="00BA2952"/>
    <w:rsid w:val="00C165DB"/>
    <w:rsid w:val="00CF63F4"/>
    <w:rsid w:val="00D23EE3"/>
    <w:rsid w:val="00D80DC0"/>
    <w:rsid w:val="00DB21EC"/>
    <w:rsid w:val="00E15641"/>
    <w:rsid w:val="00E701D0"/>
    <w:rsid w:val="00EB1A11"/>
    <w:rsid w:val="00EC2001"/>
    <w:rsid w:val="00EE16EA"/>
    <w:rsid w:val="00EE422D"/>
    <w:rsid w:val="00EE7FB3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67"/>
  </w:style>
  <w:style w:type="paragraph" w:styleId="Footer">
    <w:name w:val="footer"/>
    <w:basedOn w:val="Normal"/>
    <w:link w:val="FooterChar"/>
    <w:uiPriority w:val="99"/>
    <w:unhideWhenUsed/>
    <w:rsid w:val="008C3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67"/>
  </w:style>
  <w:style w:type="paragraph" w:styleId="BodyText2">
    <w:name w:val="Body Text 2"/>
    <w:basedOn w:val="Normal"/>
    <w:link w:val="BodyText2Char"/>
    <w:rsid w:val="00A96955"/>
    <w:pPr>
      <w:widowControl w:val="0"/>
      <w:tabs>
        <w:tab w:val="left" w:pos="0"/>
      </w:tabs>
      <w:suppressAutoHyphens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96955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E01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3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67"/>
  </w:style>
  <w:style w:type="paragraph" w:styleId="Footer">
    <w:name w:val="footer"/>
    <w:basedOn w:val="Normal"/>
    <w:link w:val="FooterChar"/>
    <w:uiPriority w:val="99"/>
    <w:unhideWhenUsed/>
    <w:rsid w:val="008C3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67"/>
  </w:style>
  <w:style w:type="paragraph" w:styleId="BodyText2">
    <w:name w:val="Body Text 2"/>
    <w:basedOn w:val="Normal"/>
    <w:link w:val="BodyText2Char"/>
    <w:rsid w:val="00A96955"/>
    <w:pPr>
      <w:widowControl w:val="0"/>
      <w:tabs>
        <w:tab w:val="left" w:pos="0"/>
      </w:tabs>
      <w:suppressAutoHyphens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96955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E01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3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hhs.tas.gov.au/psbt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hhs.tas.gov.au/psbt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98368D33.dotm</Template>
  <TotalTime>0</TotalTime>
  <Pages>2</Pages>
  <Words>706</Words>
  <Characters>4027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Galloway, Jim</dc:creator>
  <cp:lastModifiedBy>Boyles, Peter J</cp:lastModifiedBy>
  <cp:revision>2</cp:revision>
  <cp:lastPrinted>2013-05-07T01:26:00Z</cp:lastPrinted>
  <dcterms:created xsi:type="dcterms:W3CDTF">2013-09-16T23:27:00Z</dcterms:created>
  <dcterms:modified xsi:type="dcterms:W3CDTF">2013-09-16T23:27:00Z</dcterms:modified>
</cp:coreProperties>
</file>