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52" w:rsidRDefault="00E240AD" w:rsidP="00F33852">
      <w:pPr>
        <w:pStyle w:val="Heading1"/>
        <w:rPr>
          <w:rFonts w:cs="Arial"/>
          <w:b/>
          <w:bCs/>
          <w:color w:val="005395"/>
          <w:kern w:val="28"/>
          <w:sz w:val="64"/>
          <w:szCs w:val="64"/>
        </w:rPr>
      </w:pPr>
      <w:r>
        <w:rPr>
          <w:rFonts w:cs="Arial"/>
          <w:b/>
          <w:bCs/>
          <w:color w:val="005395"/>
          <w:kern w:val="28"/>
          <w:sz w:val="64"/>
          <w:szCs w:val="64"/>
        </w:rPr>
        <w:t>Quantities of dairy and alternatives for menu p</w:t>
      </w:r>
      <w:r w:rsidR="00D90A65" w:rsidRPr="00DD1AAF">
        <w:rPr>
          <w:rFonts w:cs="Arial"/>
          <w:b/>
          <w:bCs/>
          <w:color w:val="005395"/>
          <w:kern w:val="28"/>
          <w:sz w:val="64"/>
          <w:szCs w:val="64"/>
        </w:rPr>
        <w:t>lanning</w:t>
      </w:r>
    </w:p>
    <w:p w:rsidR="00D90A65" w:rsidRPr="00F33852" w:rsidRDefault="00D90A65" w:rsidP="00B929BC">
      <w:r w:rsidRPr="00F33852">
        <w:t xml:space="preserve">This tool can help to plan meals which provide enough dairy and dairy alternatives for clients. The table shows how much dairy or dairy alternatives to include in a main meal recipe to meet the minimum number of serves for older people (1 </w:t>
      </w:r>
      <w:r w:rsidR="00B929BC">
        <w:t>to</w:t>
      </w:r>
      <w:r w:rsidRPr="00F33852">
        <w:t xml:space="preserve"> 1 ½ serves per person).</w:t>
      </w:r>
    </w:p>
    <w:tbl>
      <w:tblPr>
        <w:tblpPr w:leftFromText="180" w:rightFromText="180" w:vertAnchor="text" w:horzAnchor="margin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1"/>
        <w:tblDescription w:val="Quantities of Dairy and Alternatives for Menu Planning"/>
      </w:tblPr>
      <w:tblGrid>
        <w:gridCol w:w="2236"/>
        <w:gridCol w:w="1524"/>
        <w:gridCol w:w="1524"/>
        <w:gridCol w:w="1524"/>
        <w:gridCol w:w="1523"/>
        <w:gridCol w:w="1523"/>
      </w:tblGrid>
      <w:tr w:rsidR="00B929BC" w:rsidRPr="001042D5" w:rsidTr="00BB33D3">
        <w:trPr>
          <w:cantSplit/>
          <w:trHeight w:val="395"/>
          <w:tblHeader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lang w:val="en-US" w:eastAsia="en-US"/>
              </w:rPr>
              <w:t>Dairy or alternatives</w:t>
            </w:r>
          </w:p>
        </w:tc>
        <w:tc>
          <w:tcPr>
            <w:tcW w:w="773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  <w:t>For 10 people</w:t>
            </w:r>
          </w:p>
        </w:tc>
        <w:tc>
          <w:tcPr>
            <w:tcW w:w="773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  <w:t>For 20 people</w:t>
            </w:r>
          </w:p>
        </w:tc>
        <w:tc>
          <w:tcPr>
            <w:tcW w:w="773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  <w:t>For 30 people</w:t>
            </w:r>
          </w:p>
        </w:tc>
        <w:tc>
          <w:tcPr>
            <w:tcW w:w="773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  <w:t>For 40 people</w:t>
            </w:r>
          </w:p>
        </w:tc>
        <w:tc>
          <w:tcPr>
            <w:tcW w:w="773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sz w:val="24"/>
                <w:szCs w:val="20"/>
                <w:lang w:val="en-US" w:eastAsia="en-US"/>
              </w:rPr>
              <w:t>For 50 people</w:t>
            </w:r>
          </w:p>
        </w:tc>
      </w:tr>
      <w:tr w:rsidR="00B929BC" w:rsidRPr="001042D5" w:rsidTr="00BB33D3">
        <w:trPr>
          <w:cantSplit/>
          <w:trHeight w:val="392"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  <w:t>Milk or calcium enriched soy beverage</w:t>
            </w: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 xml:space="preserve"> </w:t>
            </w:r>
          </w:p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 xml:space="preserve">1 cup (250 mililetres) is 1 serve 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after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2.5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3.75 litres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5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7.5 litres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7.5</w:t>
            </w:r>
            <w:r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11.25 litres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BB33D3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10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</w:t>
            </w:r>
            <w:r w:rsidRPr="001042D5">
              <w:rPr>
                <w:rFonts w:cs="Arial"/>
                <w:noProof/>
                <w:lang w:val="en-US" w:eastAsia="en-US"/>
              </w:rPr>
              <w:t>15 litres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12.5</w:t>
            </w:r>
            <w:r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18.75 litres</w:t>
            </w:r>
          </w:p>
        </w:tc>
      </w:tr>
      <w:tr w:rsidR="00B929BC" w:rsidRPr="001042D5" w:rsidTr="00BB33D3">
        <w:trPr>
          <w:cantSplit/>
          <w:trHeight w:val="392"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  <w:t>Milk powder</w:t>
            </w: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 xml:space="preserve"> </w:t>
            </w:r>
          </w:p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>2 tablespoons is 1 serve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after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1¼ </w:t>
            </w:r>
            <w:r>
              <w:rPr>
                <w:rFonts w:cs="Arial"/>
                <w:noProof/>
              </w:rPr>
              <w:t>to</w:t>
            </w:r>
            <w:r w:rsidRPr="001042D5">
              <w:rPr>
                <w:rFonts w:cs="Arial"/>
                <w:noProof/>
                <w:lang w:val="en-US" w:eastAsia="en-US"/>
              </w:rPr>
              <w:t>1¾ cups</w:t>
            </w:r>
            <w:r w:rsidRPr="001042D5">
              <w:rPr>
                <w:rFonts w:cs="Arial"/>
                <w:noProof/>
                <w:lang w:val="en-US" w:eastAsia="en-US"/>
              </w:rPr>
              <w:br/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2½ </w:t>
            </w:r>
            <w:r w:rsidRPr="004F2FED">
              <w:rPr>
                <w:rFonts w:cs="Arial"/>
                <w:noProof/>
              </w:rPr>
              <w:t xml:space="preserve">to </w:t>
            </w:r>
            <w:r w:rsidRPr="001042D5">
              <w:rPr>
                <w:rFonts w:cs="Arial"/>
                <w:noProof/>
                <w:lang w:val="en-US" w:eastAsia="en-US"/>
              </w:rPr>
              <w:t>3¾ cups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3¾ </w:t>
            </w:r>
            <w:r w:rsidRPr="004F2FED">
              <w:rPr>
                <w:rFonts w:cs="Arial"/>
                <w:noProof/>
              </w:rPr>
              <w:t xml:space="preserve">to </w:t>
            </w:r>
            <w:r w:rsidRPr="001042D5">
              <w:rPr>
                <w:rFonts w:cs="Arial"/>
                <w:noProof/>
                <w:lang w:val="en-US" w:eastAsia="en-US"/>
              </w:rPr>
              <w:t>5½ cups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5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7½ cups</w:t>
            </w:r>
          </w:p>
          <w:p w:rsidR="00B929BC" w:rsidRPr="001042D5" w:rsidRDefault="00B929BC" w:rsidP="00087356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</w:p>
          <w:p w:rsidR="00B929BC" w:rsidRPr="001042D5" w:rsidRDefault="00B929BC" w:rsidP="00BB33D3">
            <w:pPr>
              <w:spacing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6</w:t>
            </w:r>
            <w:bookmarkStart w:id="0" w:name="_GoBack"/>
            <w:bookmarkEnd w:id="0"/>
            <w:r>
              <w:rPr>
                <w:rFonts w:cs="Arial"/>
                <w:noProof/>
                <w:lang w:val="en-US" w:eastAsia="en-US"/>
              </w:rPr>
              <w:t xml:space="preserve">¼ </w:t>
            </w:r>
            <w:r w:rsidRPr="004F2FED">
              <w:rPr>
                <w:rFonts w:cs="Arial"/>
                <w:noProof/>
              </w:rPr>
              <w:t xml:space="preserve">to </w:t>
            </w:r>
            <w:r w:rsidRPr="001042D5">
              <w:rPr>
                <w:rFonts w:cs="Arial"/>
                <w:noProof/>
                <w:lang w:val="en-US" w:eastAsia="en-US"/>
              </w:rPr>
              <w:t>9</w:t>
            </w:r>
            <m:oMath>
              <m:r>
                <w:rPr>
                  <w:rFonts w:ascii="Cambria Math" w:hAnsi="Cambria Math" w:cs="Arial"/>
                  <w:noProof/>
                  <w:sz w:val="20"/>
                  <w:lang w:val="en-US" w:eastAsia="en-US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noProof/>
                      <w:sz w:val="12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12"/>
                      <w:lang w:val="en-US"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12"/>
                      <w:lang w:val="en-US" w:eastAsia="en-US"/>
                    </w:rPr>
                    <m:t>3</m:t>
                  </m:r>
                </m:den>
              </m:f>
            </m:oMath>
            <w:r w:rsidRPr="001042D5">
              <w:rPr>
                <w:rFonts w:cs="Arial"/>
                <w:noProof/>
                <w:lang w:val="en-US" w:eastAsia="en-US"/>
              </w:rPr>
              <w:t xml:space="preserve"> cups</w:t>
            </w:r>
          </w:p>
        </w:tc>
      </w:tr>
      <w:tr w:rsidR="00B929BC" w:rsidRPr="001042D5" w:rsidTr="00BB33D3">
        <w:trPr>
          <w:cantSplit/>
          <w:trHeight w:val="392"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  <w:t>Cheese</w:t>
            </w:r>
          </w:p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>2 slices (40 grams) cheese or 2/3 cup grated cheese is 1 serve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 </w:t>
            </w:r>
            <w:r>
              <w:rPr>
                <w:rFonts w:cs="Arial"/>
                <w:noProof/>
                <w:lang w:val="en-US" w:eastAsia="en-US"/>
              </w:rPr>
              <w:br/>
              <w:t>400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 xml:space="preserve">600 grams 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800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1200 grams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1.2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1.8 kilograms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1.6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2.4 kilograms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2.0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3.0 kilograms</w:t>
            </w:r>
          </w:p>
        </w:tc>
      </w:tr>
      <w:tr w:rsidR="00B929BC" w:rsidRPr="001042D5" w:rsidTr="00BB33D3">
        <w:trPr>
          <w:cantSplit/>
          <w:trHeight w:val="392"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  <w:t>Ricotta cheese</w:t>
            </w:r>
          </w:p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>½ cup (120 grams) is 1 serve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1.2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1.8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  <w:r w:rsidRPr="001042D5">
              <w:rPr>
                <w:rFonts w:cs="Arial"/>
                <w:noProof/>
                <w:lang w:val="en-US" w:eastAsia="en-US"/>
              </w:rPr>
              <w:br/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2.4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3.6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3.6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5.4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4.8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7.2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087356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 xml:space="preserve">    </w:t>
            </w:r>
            <w:r>
              <w:rPr>
                <w:rFonts w:cs="Arial"/>
                <w:noProof/>
                <w:lang w:val="en-US" w:eastAsia="en-US"/>
              </w:rPr>
              <w:br/>
              <w:t>6.0</w:t>
            </w:r>
            <w:r w:rsidRPr="004F2FED">
              <w:rPr>
                <w:rFonts w:cs="Arial"/>
                <w:noProof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9.0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</w:tr>
      <w:tr w:rsidR="00B929BC" w:rsidRPr="001042D5" w:rsidTr="00BB33D3">
        <w:trPr>
          <w:cantSplit/>
          <w:trHeight w:val="392"/>
        </w:trPr>
        <w:tc>
          <w:tcPr>
            <w:tcW w:w="1134" w:type="pct"/>
            <w:shd w:val="clear" w:color="auto" w:fill="265EAC"/>
          </w:tcPr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b/>
                <w:noProof/>
                <w:color w:val="FFFFFF" w:themeColor="background1"/>
                <w:lang w:val="en-US" w:eastAsia="en-US"/>
              </w:rPr>
              <w:t xml:space="preserve">Yoghurt </w:t>
            </w:r>
          </w:p>
          <w:p w:rsidR="00B929BC" w:rsidRPr="007F605B" w:rsidRDefault="00B929BC" w:rsidP="00087356">
            <w:pPr>
              <w:spacing w:before="60" w:after="60" w:line="240" w:lineRule="auto"/>
              <w:ind w:right="0"/>
              <w:rPr>
                <w:rFonts w:cs="Arial"/>
                <w:noProof/>
                <w:color w:val="FFFFFF" w:themeColor="background1"/>
                <w:lang w:val="en-US" w:eastAsia="en-US"/>
              </w:rPr>
            </w:pPr>
            <w:r w:rsidRPr="007F605B">
              <w:rPr>
                <w:rFonts w:cs="Arial"/>
                <w:noProof/>
                <w:color w:val="FFFFFF" w:themeColor="background1"/>
                <w:lang w:val="en-US" w:eastAsia="en-US"/>
              </w:rPr>
              <w:t>¾ cup (200 grams) is 1 serve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2.0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3.0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4.0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6.0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ilograms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6.0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9.0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8.0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12.0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</w:t>
            </w:r>
            <w:r w:rsidRPr="001042D5">
              <w:rPr>
                <w:rFonts w:cs="Arial"/>
                <w:noProof/>
                <w:lang w:val="en-US" w:eastAsia="en-US"/>
              </w:rPr>
              <w:t>g</w:t>
            </w:r>
            <w:r>
              <w:rPr>
                <w:rFonts w:cs="Arial"/>
                <w:noProof/>
                <w:lang w:val="en-US" w:eastAsia="en-US"/>
              </w:rPr>
              <w:t>rams</w:t>
            </w:r>
          </w:p>
        </w:tc>
        <w:tc>
          <w:tcPr>
            <w:tcW w:w="773" w:type="pct"/>
            <w:shd w:val="clear" w:color="auto" w:fill="auto"/>
          </w:tcPr>
          <w:p w:rsidR="00B929BC" w:rsidRPr="001042D5" w:rsidRDefault="00B929BC" w:rsidP="00BB33D3">
            <w:pPr>
              <w:spacing w:before="60" w:line="240" w:lineRule="auto"/>
              <w:ind w:right="0"/>
              <w:rPr>
                <w:rFonts w:cs="Arial"/>
                <w:noProof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br/>
              <w:t>10.0</w:t>
            </w:r>
            <w:r w:rsidRPr="00BB33D3">
              <w:rPr>
                <w:rFonts w:cs="Arial"/>
                <w:noProof/>
                <w:lang w:val="en-US" w:eastAsia="en-US"/>
              </w:rPr>
              <w:t xml:space="preserve"> to </w:t>
            </w:r>
            <w:r w:rsidRPr="001042D5">
              <w:rPr>
                <w:rFonts w:cs="Arial"/>
                <w:noProof/>
                <w:lang w:val="en-US" w:eastAsia="en-US"/>
              </w:rPr>
              <w:t>15.0</w:t>
            </w:r>
            <w:r>
              <w:rPr>
                <w:rFonts w:cs="Arial"/>
                <w:noProof/>
                <w:lang w:val="en-US" w:eastAsia="en-US"/>
              </w:rPr>
              <w:t xml:space="preserve"> </w:t>
            </w:r>
            <w:r w:rsidRPr="001042D5">
              <w:rPr>
                <w:rFonts w:cs="Arial"/>
                <w:noProof/>
                <w:lang w:val="en-US" w:eastAsia="en-US"/>
              </w:rPr>
              <w:t>k</w:t>
            </w:r>
            <w:r>
              <w:rPr>
                <w:rFonts w:cs="Arial"/>
                <w:noProof/>
                <w:lang w:val="en-US" w:eastAsia="en-US"/>
              </w:rPr>
              <w:t>ilograms</w:t>
            </w:r>
            <w:r w:rsidRPr="001042D5">
              <w:rPr>
                <w:rFonts w:cs="Arial"/>
                <w:noProof/>
                <w:lang w:val="en-US" w:eastAsia="en-US"/>
              </w:rPr>
              <w:br/>
            </w:r>
          </w:p>
        </w:tc>
      </w:tr>
    </w:tbl>
    <w:p w:rsidR="007F33B4" w:rsidRDefault="007F33B4" w:rsidP="00F33852"/>
    <w:sectPr w:rsidR="007F33B4" w:rsidSect="00A3132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52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42" w:rsidRDefault="00816342" w:rsidP="00F33852">
      <w:r>
        <w:separator/>
      </w:r>
    </w:p>
  </w:endnote>
  <w:endnote w:type="continuationSeparator" w:id="0">
    <w:p w:rsidR="00816342" w:rsidRDefault="00816342" w:rsidP="00F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65" w:rsidRDefault="00E119EC" w:rsidP="00B929BC">
    <w:pPr>
      <w:pStyle w:val="Footer"/>
      <w:ind w:left="-993"/>
    </w:pPr>
    <w:r>
      <w:rPr>
        <w:noProof/>
      </w:rPr>
      <w:drawing>
        <wp:inline distT="0" distB="0" distL="0" distR="0">
          <wp:extent cx="7362777" cy="1297857"/>
          <wp:effectExtent l="0" t="0" r="0" b="0"/>
          <wp:docPr id="35" name="Picture 35" descr="Tasmanian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79" cy="13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F8" w:rsidRDefault="00D90A65" w:rsidP="00F33852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657FF2C">
              <wp:extent cx="1562100" cy="342900"/>
              <wp:effectExtent l="0" t="0" r="0" b="0"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FF4367" id="Rectangle 5" o:spid="_x0000_s1026" style="width:12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" fillcolor="white [3212]" stroked="f" strokeweight="2pt"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12496EC8">
          <wp:extent cx="7524000" cy="1458691"/>
          <wp:effectExtent l="0" t="0" r="1270" b="8255"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586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42" w:rsidRDefault="00816342" w:rsidP="00F33852">
      <w:r>
        <w:separator/>
      </w:r>
    </w:p>
  </w:footnote>
  <w:footnote w:type="continuationSeparator" w:id="0">
    <w:p w:rsidR="00816342" w:rsidRDefault="00816342" w:rsidP="00F3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65" w:rsidRDefault="00D90A65" w:rsidP="00F33852">
    <w:pPr>
      <w:pStyle w:val="Header"/>
      <w:spacing w:before="0"/>
      <w:ind w:left="-1134"/>
    </w:pPr>
    <w:r>
      <w:rPr>
        <w:noProof/>
      </w:rPr>
      <w:drawing>
        <wp:inline distT="0" distB="0" distL="0" distR="0" wp14:anchorId="6A3D2362">
          <wp:extent cx="7560000" cy="1404000"/>
          <wp:effectExtent l="0" t="0" r="3175" b="5715"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A7" w:rsidRDefault="00D90A65" w:rsidP="00F33852">
    <w:pPr>
      <w:pStyle w:val="Header"/>
    </w:pPr>
    <w:r>
      <w:rPr>
        <w:noProof/>
      </w:rPr>
      <w:drawing>
        <wp:inline distT="0" distB="0" distL="0" distR="0" wp14:anchorId="77546A49">
          <wp:extent cx="7558475" cy="1405023"/>
          <wp:effectExtent l="0" t="0" r="4445" b="5080"/>
          <wp:docPr id="36" name="Picture 36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65"/>
    <w:rsid w:val="004962EF"/>
    <w:rsid w:val="006C7235"/>
    <w:rsid w:val="007F33B4"/>
    <w:rsid w:val="00816342"/>
    <w:rsid w:val="00A31326"/>
    <w:rsid w:val="00A659F5"/>
    <w:rsid w:val="00AB49E0"/>
    <w:rsid w:val="00B929BC"/>
    <w:rsid w:val="00BB33D3"/>
    <w:rsid w:val="00C01574"/>
    <w:rsid w:val="00C11800"/>
    <w:rsid w:val="00D90A65"/>
    <w:rsid w:val="00E119EC"/>
    <w:rsid w:val="00E240AD"/>
    <w:rsid w:val="00E63766"/>
    <w:rsid w:val="00F33852"/>
    <w:rsid w:val="00F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D276"/>
  <w15:docId w15:val="{AB64DB9E-3727-4227-AF90-9FD98C2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852"/>
    <w:pPr>
      <w:keepNext/>
      <w:keepLines/>
      <w:spacing w:before="240" w:after="0" w:line="300" w:lineRule="atLeast"/>
      <w:ind w:right="-1"/>
      <w:outlineLvl w:val="0"/>
    </w:pPr>
    <w:rPr>
      <w:rFonts w:ascii="Gill Sans MT" w:eastAsiaTheme="majorEastAsia" w:hAnsi="Gill Sans MT" w:cstheme="majorBid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235"/>
    <w:rPr>
      <w:color w:val="365F91" w:themeColor="accent1" w:themeShade="BF"/>
      <w:sz w:val="40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D90A65"/>
    <w:pPr>
      <w:spacing w:after="360" w:line="360" w:lineRule="auto"/>
      <w:ind w:right="0"/>
      <w:outlineLvl w:val="6"/>
    </w:pPr>
    <w:rPr>
      <w:color w:val="09BEDD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0A65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Header">
    <w:name w:val="header"/>
    <w:basedOn w:val="Normal"/>
    <w:link w:val="HeaderChar"/>
    <w:rsid w:val="00D90A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A65"/>
    <w:rPr>
      <w:rFonts w:ascii="Gill Sans MT" w:eastAsia="Times New Roman" w:hAnsi="Gill Sans MT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D90A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A65"/>
    <w:rPr>
      <w:rFonts w:ascii="Gill Sans MT" w:eastAsia="Times New Roman" w:hAnsi="Gill Sans MT" w:cs="Times New Roman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D90A65"/>
    <w:pPr>
      <w:spacing w:after="360" w:line="360" w:lineRule="auto"/>
      <w:ind w:right="0"/>
    </w:pPr>
    <w:rPr>
      <w:color w:val="09BEDD"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D90A65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65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7235"/>
    <w:rPr>
      <w:rFonts w:ascii="Gill Sans MT" w:eastAsiaTheme="majorEastAsia" w:hAnsi="Gill Sans MT" w:cstheme="majorBidi"/>
      <w:color w:val="365F91" w:themeColor="accent1" w:themeShade="BF"/>
      <w:sz w:val="40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Quantities of dairy or alternatives for menu planning</vt:lpstr>
    </vt:vector>
  </TitlesOfParts>
  <Company>DHHS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Quantities of dairy or alternatives for menu planning</dc:title>
  <dc:subject>Dairy or alternatives menu planning factsheet</dc:subject>
  <dc:creator>Webb, Jaymeila D</dc:creator>
  <cp:lastModifiedBy>Radivojevic, Tracey L</cp:lastModifiedBy>
  <cp:revision>11</cp:revision>
  <dcterms:created xsi:type="dcterms:W3CDTF">2019-06-05T01:21:00Z</dcterms:created>
  <dcterms:modified xsi:type="dcterms:W3CDTF">2019-08-12T05:47:00Z</dcterms:modified>
</cp:coreProperties>
</file>