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66C9" w14:textId="77777777" w:rsidR="00C80060" w:rsidRDefault="00C80060" w:rsidP="00C80060">
      <w:pPr>
        <w:pStyle w:val="Title"/>
        <w:spacing w:line="276" w:lineRule="auto"/>
      </w:pPr>
      <w:r w:rsidRPr="00C80060">
        <w:t>Health Promoting Schools Framework</w:t>
      </w:r>
    </w:p>
    <w:p w14:paraId="33460C41" w14:textId="77777777" w:rsidR="00C80060" w:rsidRPr="00C80060" w:rsidRDefault="00C80060" w:rsidP="00C80060">
      <w:pPr>
        <w:tabs>
          <w:tab w:val="left" w:pos="5592"/>
        </w:tabs>
        <w:ind w:right="0"/>
      </w:pPr>
      <w:bookmarkStart w:id="0" w:name="_Hlk13060330"/>
      <w:r w:rsidRPr="00C80060">
        <w:t>Young people spend a large proportion of their lives at school, making it an ideal setting to promote healthy behaviours.  There is little evidence that promoting health messages only through school curriculum results in sustained changes in the health behaviours of students.</w:t>
      </w:r>
    </w:p>
    <w:p w14:paraId="2150EE49" w14:textId="77777777" w:rsidR="00C80060" w:rsidRDefault="00C80060" w:rsidP="00C80060">
      <w:pPr>
        <w:tabs>
          <w:tab w:val="left" w:pos="5592"/>
        </w:tabs>
        <w:ind w:right="0"/>
      </w:pPr>
      <w:r w:rsidRPr="00C80060">
        <w:t xml:space="preserve">Public Health Services encourages Tasmanian schools to improve student health and wellbeing by using the Health Promoting Schools Framework.  The Health Promoting Schools Framework is a settings based whole-school approach.  </w:t>
      </w:r>
      <w:bookmarkEnd w:id="0"/>
    </w:p>
    <w:p w14:paraId="38D223BD" w14:textId="77777777" w:rsidR="002E4EF0" w:rsidRPr="00C80060" w:rsidRDefault="002E4EF0" w:rsidP="00C80060">
      <w:pPr>
        <w:tabs>
          <w:tab w:val="left" w:pos="5592"/>
        </w:tabs>
        <w:ind w:right="0"/>
      </w:pPr>
    </w:p>
    <w:p w14:paraId="70B1CC7E" w14:textId="77777777" w:rsidR="00C80060" w:rsidRPr="00C80060" w:rsidRDefault="00C80060" w:rsidP="002E4EF0">
      <w:pPr>
        <w:pStyle w:val="Heading2"/>
      </w:pPr>
      <w:r w:rsidRPr="00C80060">
        <w:t>What is a Health Promoting School?</w:t>
      </w:r>
    </w:p>
    <w:p w14:paraId="6FFEFEDF" w14:textId="77777777" w:rsidR="00C80060" w:rsidRPr="00C80060" w:rsidRDefault="00C80060" w:rsidP="00C80060">
      <w:pPr>
        <w:tabs>
          <w:tab w:val="left" w:pos="5592"/>
        </w:tabs>
        <w:ind w:right="0"/>
      </w:pPr>
      <w:r w:rsidRPr="00C80060">
        <w:t xml:space="preserve">The </w:t>
      </w:r>
      <w:hyperlink r:id="rId7" w:history="1">
        <w:r w:rsidRPr="00C80060">
          <w:rPr>
            <w:rStyle w:val="Hyperlink"/>
          </w:rPr>
          <w:t>World Health Organisation</w:t>
        </w:r>
      </w:hyperlink>
      <w:r w:rsidRPr="00C80060">
        <w:t xml:space="preserve"> defines a health promoting school as “one that constantly strengthens its capacity as a healthy setting for living, learning and working”.</w:t>
      </w:r>
    </w:p>
    <w:p w14:paraId="2484B004" w14:textId="77777777" w:rsidR="00C80060" w:rsidRDefault="00C80060" w:rsidP="00C80060">
      <w:pPr>
        <w:tabs>
          <w:tab w:val="left" w:pos="5592"/>
        </w:tabs>
        <w:ind w:right="0"/>
      </w:pPr>
      <w:r w:rsidRPr="00C80060">
        <w:t>When all members of a school community work together to make the school a healthy place to spend time, learn and work in, that school has a ‘Healthy Promoting School’ approach.</w:t>
      </w:r>
    </w:p>
    <w:p w14:paraId="11615ECD" w14:textId="77777777" w:rsidR="002E4EF0" w:rsidRPr="00C80060" w:rsidRDefault="002E4EF0" w:rsidP="00C80060">
      <w:pPr>
        <w:tabs>
          <w:tab w:val="left" w:pos="5592"/>
        </w:tabs>
        <w:ind w:right="0"/>
      </w:pPr>
    </w:p>
    <w:p w14:paraId="5F7E8DAD" w14:textId="77777777" w:rsidR="00C80060" w:rsidRPr="00C80060" w:rsidRDefault="00C80060" w:rsidP="002E4EF0">
      <w:pPr>
        <w:pStyle w:val="Heading2"/>
      </w:pPr>
      <w:r w:rsidRPr="00C80060">
        <w:t>What do Health Promoting Schools do?</w:t>
      </w:r>
    </w:p>
    <w:p w14:paraId="150E1053" w14:textId="77777777" w:rsidR="00C80060" w:rsidRPr="00C80060" w:rsidRDefault="00C80060" w:rsidP="00C80060">
      <w:pPr>
        <w:tabs>
          <w:tab w:val="left" w:pos="5592"/>
        </w:tabs>
        <w:ind w:right="0"/>
      </w:pPr>
      <w:r w:rsidRPr="00C80060">
        <w:t>According to the World Health Organisation a health promoting school:</w:t>
      </w:r>
    </w:p>
    <w:p w14:paraId="5794F7E6" w14:textId="77777777" w:rsidR="00C80060" w:rsidRPr="00C80060" w:rsidRDefault="00C80060" w:rsidP="00C80060">
      <w:pPr>
        <w:numPr>
          <w:ilvl w:val="0"/>
          <w:numId w:val="1"/>
        </w:numPr>
        <w:tabs>
          <w:tab w:val="left" w:pos="5592"/>
        </w:tabs>
        <w:ind w:right="0"/>
      </w:pPr>
      <w:r w:rsidRPr="00C80060">
        <w:t>strives to improve the health of school staff, families, community members and students</w:t>
      </w:r>
    </w:p>
    <w:p w14:paraId="08F711CB" w14:textId="77777777" w:rsidR="00C80060" w:rsidRPr="00C80060" w:rsidRDefault="00C80060" w:rsidP="00C80060">
      <w:pPr>
        <w:numPr>
          <w:ilvl w:val="0"/>
          <w:numId w:val="1"/>
        </w:numPr>
        <w:tabs>
          <w:tab w:val="left" w:pos="5592"/>
        </w:tabs>
        <w:ind w:right="0"/>
      </w:pPr>
      <w:r w:rsidRPr="00C80060">
        <w:t>fosters health and learning with all the measures at its disposal</w:t>
      </w:r>
    </w:p>
    <w:p w14:paraId="0972470E" w14:textId="77777777" w:rsidR="00C80060" w:rsidRPr="00C80060" w:rsidRDefault="00C80060" w:rsidP="00C80060">
      <w:pPr>
        <w:numPr>
          <w:ilvl w:val="0"/>
          <w:numId w:val="1"/>
        </w:numPr>
        <w:tabs>
          <w:tab w:val="left" w:pos="5592"/>
        </w:tabs>
        <w:ind w:right="0"/>
      </w:pPr>
      <w:r w:rsidRPr="00C80060">
        <w:t>engages health and education officials, teachers and their representative organisations, students, parents and community leaders in efforts to make the school a healthy place</w:t>
      </w:r>
    </w:p>
    <w:p w14:paraId="001CA14E" w14:textId="77777777" w:rsidR="00C80060" w:rsidRPr="00C80060" w:rsidRDefault="00C80060" w:rsidP="00C80060">
      <w:pPr>
        <w:numPr>
          <w:ilvl w:val="0"/>
          <w:numId w:val="1"/>
        </w:numPr>
        <w:tabs>
          <w:tab w:val="left" w:pos="5592"/>
        </w:tabs>
        <w:ind w:right="0"/>
      </w:pPr>
      <w:r w:rsidRPr="00C80060">
        <w:t>strives to provide a healthy environment, school health education and school health services along with school/community projects and outreach, health promotion programs for staff, nutrition and food safety programs, opportunities for physical education and recreation and programs for counselling, social support and mental health promotion</w:t>
      </w:r>
    </w:p>
    <w:p w14:paraId="6564F02C" w14:textId="77777777" w:rsidR="00C80060" w:rsidRPr="00C80060" w:rsidRDefault="00C80060" w:rsidP="00C80060">
      <w:pPr>
        <w:numPr>
          <w:ilvl w:val="0"/>
          <w:numId w:val="1"/>
        </w:numPr>
        <w:tabs>
          <w:tab w:val="left" w:pos="5592"/>
        </w:tabs>
        <w:ind w:right="0"/>
      </w:pPr>
      <w:r w:rsidRPr="00C80060">
        <w:t>implements policies and practices that respect an individual's self-esteem, provide multiple opportunities for success and acknowledge good efforts, intentions and personal achievements.</w:t>
      </w:r>
    </w:p>
    <w:p w14:paraId="6C5EA2B9" w14:textId="77777777" w:rsidR="009F06F0" w:rsidRDefault="009F06F0" w:rsidP="00C80060">
      <w:pPr>
        <w:tabs>
          <w:tab w:val="left" w:pos="5592"/>
        </w:tabs>
        <w:ind w:right="0"/>
        <w:sectPr w:rsidR="009F06F0" w:rsidSect="00244268">
          <w:headerReference w:type="even" r:id="rId8"/>
          <w:headerReference w:type="default" r:id="rId9"/>
          <w:footerReference w:type="default" r:id="rId10"/>
          <w:headerReference w:type="first" r:id="rId11"/>
          <w:footerReference w:type="first" r:id="rId12"/>
          <w:pgSz w:w="11906" w:h="16838" w:code="9"/>
          <w:pgMar w:top="238" w:right="1304" w:bottom="1440" w:left="1304" w:header="0" w:footer="0" w:gutter="0"/>
          <w:cols w:space="708"/>
          <w:titlePg/>
          <w:docGrid w:linePitch="360"/>
        </w:sectPr>
      </w:pPr>
    </w:p>
    <w:p w14:paraId="05957A2A" w14:textId="77777777" w:rsidR="00C80060" w:rsidRPr="002E4EF0" w:rsidRDefault="00C80060" w:rsidP="00C80060">
      <w:pPr>
        <w:pStyle w:val="Heading2"/>
        <w:ind w:right="0"/>
      </w:pPr>
      <w:r w:rsidRPr="002E4EF0">
        <w:lastRenderedPageBreak/>
        <w:t>Principles of the Health Promoting Schools approach</w:t>
      </w:r>
    </w:p>
    <w:p w14:paraId="527C408C" w14:textId="77777777" w:rsidR="00C80060" w:rsidRDefault="00C80060" w:rsidP="00C80060">
      <w:pPr>
        <w:ind w:right="0"/>
      </w:pPr>
      <w:r>
        <w:t>The Health Promoting Schools approach is based on the following principles:</w:t>
      </w:r>
    </w:p>
    <w:p w14:paraId="03C529E8" w14:textId="77777777" w:rsidR="00C80060" w:rsidRDefault="00C80060" w:rsidP="00C80060">
      <w:pPr>
        <w:numPr>
          <w:ilvl w:val="0"/>
          <w:numId w:val="1"/>
        </w:numPr>
        <w:tabs>
          <w:tab w:val="left" w:pos="5592"/>
        </w:tabs>
        <w:ind w:right="0"/>
      </w:pPr>
      <w:r>
        <w:t>Schools play an important role shaping the lives of those who go there to learn, work and play.</w:t>
      </w:r>
    </w:p>
    <w:p w14:paraId="3DE5641A" w14:textId="77777777" w:rsidR="00C80060" w:rsidRDefault="00C80060" w:rsidP="00C80060">
      <w:pPr>
        <w:numPr>
          <w:ilvl w:val="0"/>
          <w:numId w:val="1"/>
        </w:numPr>
        <w:tabs>
          <w:tab w:val="left" w:pos="5592"/>
        </w:tabs>
        <w:ind w:right="0"/>
      </w:pPr>
      <w:r>
        <w:t>Schools are much more than 'classrooms and lessons'; other components of schools contribute significantly to making schools what they are.</w:t>
      </w:r>
    </w:p>
    <w:p w14:paraId="243E037A" w14:textId="77777777" w:rsidR="00C80060" w:rsidRDefault="00C80060" w:rsidP="00C80060">
      <w:pPr>
        <w:numPr>
          <w:ilvl w:val="0"/>
          <w:numId w:val="1"/>
        </w:numPr>
        <w:tabs>
          <w:tab w:val="left" w:pos="5592"/>
        </w:tabs>
        <w:ind w:right="0"/>
      </w:pPr>
      <w:r>
        <w:t>Our physical, mental, social, emotional and spiritual wellbeing has a big impact on how well we learn, work and play, and in turn on what we can achieve in our lives.</w:t>
      </w:r>
    </w:p>
    <w:p w14:paraId="7A18247A" w14:textId="77777777" w:rsidR="00C80060" w:rsidRDefault="00C80060" w:rsidP="00C80060">
      <w:pPr>
        <w:numPr>
          <w:ilvl w:val="0"/>
          <w:numId w:val="1"/>
        </w:numPr>
        <w:tabs>
          <w:tab w:val="left" w:pos="5592"/>
        </w:tabs>
        <w:ind w:right="0"/>
      </w:pPr>
      <w:r>
        <w:t>People in school communities have much to contribute to schools, and their involvement has the potential to make school better places.</w:t>
      </w:r>
    </w:p>
    <w:p w14:paraId="0B3C4F44" w14:textId="77777777" w:rsidR="002E4EF0" w:rsidRPr="001A5544" w:rsidRDefault="002E4EF0" w:rsidP="002E4EF0">
      <w:pPr>
        <w:tabs>
          <w:tab w:val="left" w:pos="5592"/>
        </w:tabs>
        <w:ind w:left="720" w:right="0"/>
      </w:pPr>
    </w:p>
    <w:p w14:paraId="23B98965" w14:textId="77777777" w:rsidR="00C80060" w:rsidRPr="002E4EF0" w:rsidRDefault="00C80060" w:rsidP="00C80060">
      <w:pPr>
        <w:pStyle w:val="Heading1"/>
        <w:ind w:right="0"/>
        <w:rPr>
          <w:rFonts w:eastAsiaTheme="majorEastAsia" w:cstheme="majorBidi"/>
          <w:color w:val="365F91" w:themeColor="accent1" w:themeShade="BF"/>
          <w:sz w:val="32"/>
          <w:szCs w:val="26"/>
          <w:lang w:val="en-AU"/>
        </w:rPr>
      </w:pPr>
      <w:r w:rsidRPr="002E4EF0">
        <w:rPr>
          <w:rFonts w:eastAsiaTheme="majorEastAsia" w:cstheme="majorBidi"/>
          <w:color w:val="365F91" w:themeColor="accent1" w:themeShade="BF"/>
          <w:sz w:val="32"/>
          <w:szCs w:val="26"/>
          <w:lang w:val="en-AU"/>
        </w:rPr>
        <w:t>The Health Promoting Schools Framework</w:t>
      </w:r>
    </w:p>
    <w:p w14:paraId="1FD8A92E" w14:textId="77777777" w:rsidR="00C80060" w:rsidRPr="00C80060" w:rsidRDefault="00C80060" w:rsidP="00C80060">
      <w:pPr>
        <w:ind w:right="0"/>
      </w:pPr>
      <w:r w:rsidRPr="00C80060">
        <w:t xml:space="preserve">The Health Promoting Schools Framework encourages a coordinated and comprehensive approach to the planning and delivery of school activities, programs, policies and environments to promote health and wellbeing.  </w:t>
      </w:r>
    </w:p>
    <w:p w14:paraId="55DF1A1C" w14:textId="77777777" w:rsidR="00C80060" w:rsidRPr="00C80060" w:rsidRDefault="00C80060" w:rsidP="00C80060">
      <w:pPr>
        <w:ind w:right="0"/>
      </w:pPr>
      <w:r w:rsidRPr="00C80060">
        <w:t>There are three components that are integral to school communities:</w:t>
      </w:r>
    </w:p>
    <w:p w14:paraId="6AF97A30" w14:textId="77777777" w:rsidR="00C80060" w:rsidRDefault="00C80060" w:rsidP="00C80060">
      <w:pPr>
        <w:numPr>
          <w:ilvl w:val="0"/>
          <w:numId w:val="1"/>
        </w:numPr>
        <w:tabs>
          <w:tab w:val="left" w:pos="5592"/>
        </w:tabs>
        <w:ind w:right="0"/>
      </w:pPr>
      <w:r w:rsidRPr="008E31EF">
        <w:t>Practice: curriculum, teaching and learning</w:t>
      </w:r>
    </w:p>
    <w:p w14:paraId="7FD1715B" w14:textId="77777777" w:rsidR="00C80060" w:rsidRPr="008E31EF" w:rsidRDefault="00C80060" w:rsidP="00C80060">
      <w:pPr>
        <w:numPr>
          <w:ilvl w:val="0"/>
          <w:numId w:val="1"/>
        </w:numPr>
        <w:tabs>
          <w:tab w:val="left" w:pos="5592"/>
        </w:tabs>
        <w:ind w:right="0"/>
      </w:pPr>
      <w:r w:rsidRPr="008E31EF">
        <w:t>Environment: physical, cultural, policies, procedures</w:t>
      </w:r>
    </w:p>
    <w:p w14:paraId="20F69BE2" w14:textId="77777777" w:rsidR="00C80060" w:rsidRDefault="00C80060" w:rsidP="00C80060">
      <w:pPr>
        <w:numPr>
          <w:ilvl w:val="0"/>
          <w:numId w:val="1"/>
        </w:numPr>
        <w:tabs>
          <w:tab w:val="left" w:pos="5592"/>
        </w:tabs>
        <w:ind w:right="0"/>
      </w:pPr>
      <w:r w:rsidRPr="008E31EF">
        <w:t>Partnerships: students, families, wider community, businesses, organisations.</w:t>
      </w:r>
    </w:p>
    <w:p w14:paraId="2FC6EF44" w14:textId="77777777" w:rsidR="00C80060" w:rsidRDefault="00C80060" w:rsidP="00C80060">
      <w:pPr>
        <w:ind w:right="0"/>
      </w:pPr>
      <w:r>
        <w:t>These components are inter-connected and directly influence each other.</w:t>
      </w:r>
      <w:r w:rsidRPr="00FC17E5">
        <w:t xml:space="preserve"> </w:t>
      </w:r>
    </w:p>
    <w:p w14:paraId="7DD5C616" w14:textId="77777777" w:rsidR="00C80060" w:rsidRDefault="00C80060" w:rsidP="00C80060">
      <w:pPr>
        <w:ind w:right="0"/>
      </w:pPr>
      <w:r>
        <w:t>In a health promoting school, the Practice, Environment and Partnerships protect and promote the health and wellbeing of students, staff, and wider school and community members.</w:t>
      </w:r>
    </w:p>
    <w:p w14:paraId="0D1D37A6" w14:textId="77777777" w:rsidR="00164A98" w:rsidRDefault="00C80060" w:rsidP="00C80060">
      <w:pPr>
        <w:ind w:right="0"/>
      </w:pPr>
      <w:r w:rsidRPr="00C80060">
        <w:rPr>
          <w:rFonts w:eastAsia="Calibri"/>
          <w:b/>
          <w:noProof/>
          <w:szCs w:val="20"/>
        </w:rPr>
        <w:drawing>
          <wp:inline distT="0" distB="0" distL="0" distR="0" wp14:anchorId="13977A7B" wp14:editId="35428D09">
            <wp:extent cx="3218213" cy="2933065"/>
            <wp:effectExtent l="0" t="0" r="0" b="0"/>
            <wp:docPr id="3" name="Diagram 3" descr="Venn diagram of the health promoting schools framework.&#10;PRACTICE: curriculum; teaching; learning.&#10;PARTNERSHIPS: students; families; wider community; businesses; organisations.&#10;ENVIRONMENT: physical; cultural; policies; procedur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4ECA64F" w14:textId="77777777" w:rsidR="002E4EF0" w:rsidRDefault="002E4EF0" w:rsidP="00C80060">
      <w:pPr>
        <w:tabs>
          <w:tab w:val="left" w:pos="5592"/>
        </w:tabs>
        <w:ind w:right="0"/>
      </w:pPr>
    </w:p>
    <w:p w14:paraId="75B4F7B8" w14:textId="77777777" w:rsidR="00C80060" w:rsidRDefault="00C80060" w:rsidP="00C80060">
      <w:pPr>
        <w:tabs>
          <w:tab w:val="left" w:pos="5592"/>
        </w:tabs>
        <w:ind w:right="0"/>
      </w:pPr>
      <w:r>
        <w:t>For more information about health promoting schools:</w:t>
      </w:r>
    </w:p>
    <w:p w14:paraId="3A903193" w14:textId="77777777" w:rsidR="00C80060" w:rsidRDefault="00000000" w:rsidP="00C80060">
      <w:hyperlink r:id="rId18" w:history="1">
        <w:r w:rsidR="00B93B36">
          <w:rPr>
            <w:rStyle w:val="Hyperlink"/>
          </w:rPr>
          <w:t>World Health Organisation</w:t>
        </w:r>
      </w:hyperlink>
      <w:r w:rsidR="004F4A6E">
        <w:rPr>
          <w:rStyle w:val="FootnoteReference"/>
          <w:color w:val="0000FF" w:themeColor="hyperlink"/>
          <w:u w:val="single"/>
        </w:rPr>
        <w:footnoteReference w:id="1"/>
      </w:r>
    </w:p>
    <w:p w14:paraId="213261B7" w14:textId="77777777" w:rsidR="00C80060" w:rsidRPr="00EF5AF8" w:rsidRDefault="00000000" w:rsidP="00C80060">
      <w:hyperlink r:id="rId19" w:history="1">
        <w:r w:rsidR="00C80060" w:rsidRPr="006A34D5">
          <w:rPr>
            <w:rStyle w:val="Hyperlink"/>
          </w:rPr>
          <w:t>WA Health Promoting Schools Association</w:t>
        </w:r>
      </w:hyperlink>
      <w:r w:rsidR="004F4A6E">
        <w:rPr>
          <w:rStyle w:val="FootnoteReference"/>
          <w:color w:val="0000FF" w:themeColor="hyperlink"/>
          <w:u w:val="single"/>
        </w:rPr>
        <w:footnoteReference w:id="2"/>
      </w:r>
      <w:r w:rsidR="00C80060">
        <w:t xml:space="preserve"> </w:t>
      </w:r>
    </w:p>
    <w:p w14:paraId="24DB7EAD" w14:textId="77777777" w:rsidR="00E33CD4" w:rsidRDefault="00E33CD4"/>
    <w:sectPr w:rsidR="00E33CD4" w:rsidSect="00F16F40">
      <w:headerReference w:type="even" r:id="rId20"/>
      <w:headerReference w:type="default" r:id="rId21"/>
      <w:footerReference w:type="even" r:id="rId22"/>
      <w:headerReference w:type="first" r:id="rId23"/>
      <w:footerReference w:type="first" r:id="rId24"/>
      <w:type w:val="evenPage"/>
      <w:pgSz w:w="11906" w:h="16838" w:code="9"/>
      <w:pgMar w:top="1352" w:right="1440" w:bottom="1440" w:left="1440" w:header="0"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AF1C" w14:textId="77777777" w:rsidR="00907791" w:rsidRDefault="00907791" w:rsidP="0023111E">
      <w:pPr>
        <w:spacing w:after="0" w:line="240" w:lineRule="auto"/>
      </w:pPr>
      <w:r>
        <w:separator/>
      </w:r>
    </w:p>
  </w:endnote>
  <w:endnote w:type="continuationSeparator" w:id="0">
    <w:p w14:paraId="350AAC7E" w14:textId="77777777" w:rsidR="00907791" w:rsidRDefault="00907791" w:rsidP="0023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078471"/>
      <w:docPartObj>
        <w:docPartGallery w:val="Page Numbers (Bottom of Page)"/>
        <w:docPartUnique/>
      </w:docPartObj>
    </w:sdtPr>
    <w:sdtContent>
      <w:sdt>
        <w:sdtPr>
          <w:id w:val="1210841582"/>
          <w:docPartObj>
            <w:docPartGallery w:val="Page Numbers (Top of Page)"/>
            <w:docPartUnique/>
          </w:docPartObj>
        </w:sdtPr>
        <w:sdtContent>
          <w:p w14:paraId="60B9F6C0" w14:textId="77777777" w:rsidR="00017BB4" w:rsidRDefault="00017BB4" w:rsidP="00017BB4">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Pr>
                <w:bCs/>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Pr>
                <w:bCs/>
                <w:sz w:val="20"/>
                <w:szCs w:val="20"/>
              </w:rPr>
              <w:t>4</w:t>
            </w:r>
            <w:r w:rsidRPr="00017BB4">
              <w:rPr>
                <w:bCs/>
                <w:sz w:val="20"/>
                <w:szCs w:val="20"/>
              </w:rPr>
              <w:fldChar w:fldCharType="end"/>
            </w:r>
          </w:p>
        </w:sdtContent>
      </w:sdt>
    </w:sdtContent>
  </w:sdt>
  <w:p w14:paraId="593C0C59" w14:textId="77777777" w:rsidR="005326A5" w:rsidRDefault="005326A5" w:rsidP="00F16F40">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9368" w14:textId="77777777" w:rsidR="0023111E" w:rsidRDefault="0023111E" w:rsidP="00922FF7">
    <w:pPr>
      <w:pStyle w:val="Footer"/>
      <w:ind w:left="-1276"/>
    </w:pPr>
    <w:r>
      <w:rPr>
        <w:noProof/>
      </w:rPr>
      <w:drawing>
        <wp:inline distT="0" distB="0" distL="0" distR="0" wp14:anchorId="117FDD56" wp14:editId="715AD96C">
          <wp:extent cx="7524000" cy="1380429"/>
          <wp:effectExtent l="0" t="0" r="1270" b="0"/>
          <wp:docPr id="13" name="Picture 13"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H Tas Gov Foot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380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250393"/>
      <w:docPartObj>
        <w:docPartGallery w:val="Page Numbers (Bottom of Page)"/>
        <w:docPartUnique/>
      </w:docPartObj>
    </w:sdtPr>
    <w:sdtContent>
      <w:sdt>
        <w:sdtPr>
          <w:id w:val="-1769616900"/>
          <w:docPartObj>
            <w:docPartGallery w:val="Page Numbers (Top of Page)"/>
            <w:docPartUnique/>
          </w:docPartObj>
        </w:sdtPr>
        <w:sdtContent>
          <w:p w14:paraId="1988C4AA" w14:textId="77777777" w:rsidR="00017BB4" w:rsidRDefault="00017BB4">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sidRPr="00017BB4">
              <w:rPr>
                <w:bCs/>
                <w:noProof/>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sidRPr="00017BB4">
              <w:rPr>
                <w:bCs/>
                <w:noProof/>
                <w:sz w:val="20"/>
                <w:szCs w:val="20"/>
              </w:rPr>
              <w:t>2</w:t>
            </w:r>
            <w:r w:rsidRPr="00017BB4">
              <w:rPr>
                <w:bCs/>
                <w:sz w:val="20"/>
                <w:szCs w:val="20"/>
              </w:rPr>
              <w:fldChar w:fldCharType="end"/>
            </w:r>
          </w:p>
        </w:sdtContent>
      </w:sdt>
    </w:sdtContent>
  </w:sdt>
  <w:p w14:paraId="2EED783D" w14:textId="77777777" w:rsidR="00017BB4" w:rsidRDefault="00017BB4" w:rsidP="00017BB4">
    <w:pPr>
      <w:pStyle w:val="Footer"/>
      <w:ind w:right="-33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92751793"/>
      <w:docPartObj>
        <w:docPartGallery w:val="Page Numbers (Top of Page)"/>
        <w:docPartUnique/>
      </w:docPartObj>
    </w:sdtPr>
    <w:sdtEndPr>
      <w:rPr>
        <w:sz w:val="22"/>
        <w:szCs w:val="24"/>
      </w:rPr>
    </w:sdtEndPr>
    <w:sdtContent>
      <w:p w14:paraId="4AA21AF7" w14:textId="77777777" w:rsidR="00F16F40" w:rsidRDefault="00F16F40" w:rsidP="00F16F40">
        <w:pPr>
          <w:pStyle w:val="Footer"/>
          <w:ind w:right="-472"/>
          <w:jc w:val="right"/>
        </w:pPr>
        <w:r w:rsidRPr="00F16F40">
          <w:rPr>
            <w:sz w:val="20"/>
            <w:szCs w:val="20"/>
          </w:rPr>
          <w:t xml:space="preserve">Page </w:t>
        </w:r>
        <w:r w:rsidRPr="00F16F40">
          <w:rPr>
            <w:bCs/>
            <w:sz w:val="20"/>
            <w:szCs w:val="20"/>
          </w:rPr>
          <w:fldChar w:fldCharType="begin"/>
        </w:r>
        <w:r w:rsidRPr="00F16F40">
          <w:rPr>
            <w:bCs/>
            <w:sz w:val="20"/>
            <w:szCs w:val="20"/>
          </w:rPr>
          <w:instrText xml:space="preserve"> PAGE </w:instrText>
        </w:r>
        <w:r w:rsidRPr="00F16F40">
          <w:rPr>
            <w:bCs/>
            <w:sz w:val="20"/>
            <w:szCs w:val="20"/>
          </w:rPr>
          <w:fldChar w:fldCharType="separate"/>
        </w:r>
        <w:r>
          <w:rPr>
            <w:bCs/>
            <w:sz w:val="20"/>
            <w:szCs w:val="20"/>
          </w:rPr>
          <w:t>2</w:t>
        </w:r>
        <w:r w:rsidRPr="00F16F40">
          <w:rPr>
            <w:bCs/>
            <w:sz w:val="20"/>
            <w:szCs w:val="20"/>
          </w:rPr>
          <w:fldChar w:fldCharType="end"/>
        </w:r>
        <w:r w:rsidRPr="00F16F40">
          <w:rPr>
            <w:sz w:val="20"/>
            <w:szCs w:val="20"/>
          </w:rPr>
          <w:t xml:space="preserve"> of </w:t>
        </w:r>
        <w:r w:rsidRPr="00F16F40">
          <w:rPr>
            <w:bCs/>
            <w:sz w:val="20"/>
            <w:szCs w:val="20"/>
          </w:rPr>
          <w:fldChar w:fldCharType="begin"/>
        </w:r>
        <w:r w:rsidRPr="00F16F40">
          <w:rPr>
            <w:bCs/>
            <w:sz w:val="20"/>
            <w:szCs w:val="20"/>
          </w:rPr>
          <w:instrText xml:space="preserve"> NUMPAGES  </w:instrText>
        </w:r>
        <w:r w:rsidRPr="00F16F40">
          <w:rPr>
            <w:bCs/>
            <w:sz w:val="20"/>
            <w:szCs w:val="20"/>
          </w:rPr>
          <w:fldChar w:fldCharType="separate"/>
        </w:r>
        <w:r>
          <w:rPr>
            <w:bCs/>
            <w:sz w:val="20"/>
            <w:szCs w:val="20"/>
          </w:rPr>
          <w:t>4</w:t>
        </w:r>
        <w:r w:rsidRPr="00F16F40">
          <w:rPr>
            <w:bCs/>
            <w:sz w:val="20"/>
            <w:szCs w:val="20"/>
          </w:rPr>
          <w:fldChar w:fldCharType="end"/>
        </w:r>
      </w:p>
    </w:sdtContent>
  </w:sdt>
  <w:p w14:paraId="47F145D4" w14:textId="77777777" w:rsidR="00F16F40" w:rsidRDefault="00F16F40" w:rsidP="00F16F40">
    <w:pPr>
      <w:pStyle w:val="Footer"/>
      <w:ind w:left="-141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88E6" w14:textId="77777777" w:rsidR="00907791" w:rsidRDefault="00907791" w:rsidP="0023111E">
      <w:pPr>
        <w:spacing w:after="0" w:line="240" w:lineRule="auto"/>
      </w:pPr>
      <w:r>
        <w:separator/>
      </w:r>
    </w:p>
  </w:footnote>
  <w:footnote w:type="continuationSeparator" w:id="0">
    <w:p w14:paraId="1E5135C8" w14:textId="77777777" w:rsidR="00907791" w:rsidRDefault="00907791" w:rsidP="0023111E">
      <w:pPr>
        <w:spacing w:after="0" w:line="240" w:lineRule="auto"/>
      </w:pPr>
      <w:r>
        <w:continuationSeparator/>
      </w:r>
    </w:p>
  </w:footnote>
  <w:footnote w:id="1">
    <w:p w14:paraId="556DEB1F" w14:textId="77777777" w:rsidR="004F4A6E" w:rsidRDefault="004F4A6E">
      <w:pPr>
        <w:pStyle w:val="FootnoteText"/>
      </w:pPr>
      <w:r>
        <w:rPr>
          <w:rStyle w:val="FootnoteReference"/>
        </w:rPr>
        <w:footnoteRef/>
      </w:r>
      <w:r>
        <w:t xml:space="preserve"> </w:t>
      </w:r>
      <w:r w:rsidRPr="004F4A6E">
        <w:t>www.who.int/health-promoting-schools/en/</w:t>
      </w:r>
    </w:p>
  </w:footnote>
  <w:footnote w:id="2">
    <w:p w14:paraId="18575A04" w14:textId="77777777" w:rsidR="004F4A6E" w:rsidRDefault="004F4A6E">
      <w:pPr>
        <w:pStyle w:val="FootnoteText"/>
      </w:pPr>
      <w:r>
        <w:rPr>
          <w:rStyle w:val="FootnoteReference"/>
        </w:rPr>
        <w:footnoteRef/>
      </w:r>
      <w:r>
        <w:t xml:space="preserve"> </w:t>
      </w:r>
      <w:r w:rsidRPr="004F4A6E">
        <w:t>wahpsa.org.au/resources/what-is-a-health-promoting-school/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C110" w14:textId="77777777" w:rsidR="005F4811" w:rsidRDefault="005F4811" w:rsidP="00B349EC">
    <w:pPr>
      <w:pStyle w:val="Header"/>
      <w:ind w:left="-14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0D74" w14:textId="77777777" w:rsidR="00B349EC" w:rsidRDefault="00B349EC" w:rsidP="00B349EC">
    <w:pPr>
      <w:pStyle w:val="Header"/>
      <w:ind w:righ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9FE5" w14:textId="77777777" w:rsidR="0023111E" w:rsidRDefault="00C8509E" w:rsidP="0023111E">
    <w:pPr>
      <w:pStyle w:val="Header"/>
      <w:ind w:left="-1474"/>
    </w:pPr>
    <w:r>
      <w:rPr>
        <w:noProof/>
      </w:rPr>
      <w:drawing>
        <wp:inline distT="0" distB="0" distL="0" distR="0" wp14:anchorId="04A31F19" wp14:editId="00ECA4EE">
          <wp:extent cx="7691755" cy="2019300"/>
          <wp:effectExtent l="0" t="0" r="4445" b="0"/>
          <wp:docPr id="12" name="Picture 12"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rotWithShape="1">
                  <a:blip r:embed="rId1">
                    <a:extLst>
                      <a:ext uri="{28A0092B-C50C-407E-A947-70E740481C1C}">
                        <a14:useLocalDpi xmlns:a14="http://schemas.microsoft.com/office/drawing/2010/main" val="0"/>
                      </a:ext>
                    </a:extLst>
                  </a:blip>
                  <a:srcRect b="19757"/>
                  <a:stretch/>
                </pic:blipFill>
                <pic:spPr bwMode="auto">
                  <a:xfrm>
                    <a:off x="0" y="0"/>
                    <a:ext cx="7693200" cy="20196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FAD3" w14:textId="77777777" w:rsidR="00F16F40" w:rsidRDefault="00F16F40" w:rsidP="00B349EC">
    <w:pPr>
      <w:pStyle w:val="Header"/>
      <w:ind w:left="-1474"/>
    </w:pPr>
    <w:r>
      <w:rPr>
        <w:noProof/>
      </w:rPr>
      <w:drawing>
        <wp:inline distT="0" distB="0" distL="0" distR="0" wp14:anchorId="4553FDE1" wp14:editId="423F89B7">
          <wp:extent cx="1078994" cy="1078994"/>
          <wp:effectExtent l="0" t="0" r="0" b="0"/>
          <wp:docPr id="299" name="Picture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0472" w14:textId="77777777" w:rsidR="009F06F0" w:rsidRDefault="00F16F40" w:rsidP="00F16F40">
    <w:pPr>
      <w:pStyle w:val="Header"/>
      <w:ind w:left="-1418" w:right="-1440"/>
      <w:jc w:val="right"/>
    </w:pPr>
    <w:r>
      <w:rPr>
        <w:noProof/>
      </w:rPr>
      <w:drawing>
        <wp:inline distT="0" distB="0" distL="0" distR="0" wp14:anchorId="1A92F751" wp14:editId="13269CFE">
          <wp:extent cx="1078994" cy="1078994"/>
          <wp:effectExtent l="0" t="0" r="6985" b="0"/>
          <wp:docPr id="300" name="Picture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2D6A" w14:textId="77777777" w:rsidR="009F06F0" w:rsidRDefault="009F06F0" w:rsidP="009F06F0">
    <w:pPr>
      <w:pStyle w:val="Header"/>
      <w:ind w:left="-1474" w:right="-1440"/>
      <w:jc w:val="right"/>
    </w:pPr>
    <w:r>
      <w:rPr>
        <w:noProof/>
      </w:rPr>
      <w:drawing>
        <wp:inline distT="0" distB="0" distL="0" distR="0" wp14:anchorId="4B618973" wp14:editId="77E2DE0F">
          <wp:extent cx="1080000" cy="1080000"/>
          <wp:effectExtent l="0" t="0" r="6350" b="0"/>
          <wp:docPr id="301" name="Pictur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flipV="1">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34051"/>
    <w:multiLevelType w:val="hybridMultilevel"/>
    <w:tmpl w:val="2D3EF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404040"/>
    <w:multiLevelType w:val="hybridMultilevel"/>
    <w:tmpl w:val="35F0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151161">
    <w:abstractNumId w:val="0"/>
  </w:num>
  <w:num w:numId="2" w16cid:durableId="1521435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60"/>
    <w:rsid w:val="00017BB4"/>
    <w:rsid w:val="00047A24"/>
    <w:rsid w:val="00164A98"/>
    <w:rsid w:val="0023111E"/>
    <w:rsid w:val="00244268"/>
    <w:rsid w:val="00246152"/>
    <w:rsid w:val="00264A27"/>
    <w:rsid w:val="00283A3E"/>
    <w:rsid w:val="002E4EF0"/>
    <w:rsid w:val="00300B57"/>
    <w:rsid w:val="004F4A6E"/>
    <w:rsid w:val="005326A5"/>
    <w:rsid w:val="005650D3"/>
    <w:rsid w:val="005D3585"/>
    <w:rsid w:val="005F4811"/>
    <w:rsid w:val="0063111D"/>
    <w:rsid w:val="0073044F"/>
    <w:rsid w:val="0074105F"/>
    <w:rsid w:val="0084495E"/>
    <w:rsid w:val="008D0418"/>
    <w:rsid w:val="00907791"/>
    <w:rsid w:val="00922FF7"/>
    <w:rsid w:val="009F06F0"/>
    <w:rsid w:val="00A0626C"/>
    <w:rsid w:val="00A869CD"/>
    <w:rsid w:val="00AD2CCD"/>
    <w:rsid w:val="00B349EC"/>
    <w:rsid w:val="00B7545D"/>
    <w:rsid w:val="00B87BF0"/>
    <w:rsid w:val="00B93B36"/>
    <w:rsid w:val="00BF7B06"/>
    <w:rsid w:val="00C80060"/>
    <w:rsid w:val="00C8509E"/>
    <w:rsid w:val="00D34A39"/>
    <w:rsid w:val="00D40B69"/>
    <w:rsid w:val="00D87169"/>
    <w:rsid w:val="00DD23F2"/>
    <w:rsid w:val="00E33CD4"/>
    <w:rsid w:val="00ED3000"/>
    <w:rsid w:val="00F026EA"/>
    <w:rsid w:val="00F062B9"/>
    <w:rsid w:val="00F16F40"/>
    <w:rsid w:val="00F52DCC"/>
    <w:rsid w:val="00F66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34958"/>
  <w15:chartTrackingRefBased/>
  <w15:docId w15:val="{1EDF6ED5-9FCA-4ABC-AFAA-4457121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1E"/>
    <w:pPr>
      <w:spacing w:after="140" w:line="300" w:lineRule="atLeast"/>
      <w:ind w:right="-1055"/>
    </w:pPr>
    <w:rPr>
      <w:rFonts w:ascii="Gill Sans MT" w:eastAsia="Times New Roman" w:hAnsi="Gill Sans MT" w:cs="Times New Roman"/>
      <w:szCs w:val="24"/>
      <w:lang w:eastAsia="en-AU"/>
    </w:rPr>
  </w:style>
  <w:style w:type="paragraph" w:styleId="Heading1">
    <w:name w:val="heading 1"/>
    <w:basedOn w:val="Heading2"/>
    <w:next w:val="Normal"/>
    <w:link w:val="Heading1Char"/>
    <w:qFormat/>
    <w:rsid w:val="00164A98"/>
    <w:pPr>
      <w:keepNext w:val="0"/>
      <w:keepLines w:val="0"/>
      <w:spacing w:before="240" w:after="60"/>
      <w:outlineLvl w:val="0"/>
    </w:pPr>
    <w:rPr>
      <w:rFonts w:eastAsia="Times New Roman" w:cs="Arial"/>
      <w:color w:val="auto"/>
      <w:sz w:val="40"/>
      <w:szCs w:val="24"/>
      <w:lang w:val="en"/>
    </w:rPr>
  </w:style>
  <w:style w:type="paragraph" w:styleId="Heading2">
    <w:name w:val="heading 2"/>
    <w:basedOn w:val="Normal"/>
    <w:next w:val="Normal"/>
    <w:link w:val="Heading2Char"/>
    <w:uiPriority w:val="9"/>
    <w:unhideWhenUsed/>
    <w:qFormat/>
    <w:rsid w:val="00E33CD4"/>
    <w:pPr>
      <w:keepNext/>
      <w:keepLines/>
      <w:spacing w:before="40" w:after="0"/>
      <w:outlineLvl w:val="1"/>
    </w:pPr>
    <w:rPr>
      <w:rFonts w:eastAsiaTheme="majorEastAsia" w:cstheme="majorBidi"/>
      <w:b/>
      <w:color w:val="365F91" w:themeColor="accent1" w:themeShade="BF"/>
      <w:sz w:val="32"/>
      <w:szCs w:val="26"/>
    </w:rPr>
  </w:style>
  <w:style w:type="paragraph" w:styleId="Heading6">
    <w:name w:val="heading 6"/>
    <w:basedOn w:val="Title"/>
    <w:next w:val="Normal"/>
    <w:link w:val="Heading6Char"/>
    <w:unhideWhenUsed/>
    <w:qFormat/>
    <w:rsid w:val="0023111E"/>
    <w:rPr>
      <w:bCs w:val="0"/>
    </w:rPr>
  </w:style>
  <w:style w:type="paragraph" w:styleId="Heading7">
    <w:name w:val="heading 7"/>
    <w:basedOn w:val="Normal"/>
    <w:next w:val="Normal"/>
    <w:link w:val="Heading7Char"/>
    <w:unhideWhenUsed/>
    <w:qFormat/>
    <w:rsid w:val="0023111E"/>
    <w:pPr>
      <w:spacing w:after="360" w:line="360" w:lineRule="auto"/>
      <w:ind w:right="0"/>
      <w:outlineLvl w:val="6"/>
    </w:pPr>
    <w:rPr>
      <w:color w:val="09BED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98"/>
    <w:rPr>
      <w:rFonts w:ascii="Gill Sans MT" w:eastAsia="Times New Roman" w:hAnsi="Gill Sans MT" w:cs="Arial"/>
      <w:b/>
      <w:sz w:val="40"/>
      <w:szCs w:val="24"/>
      <w:lang w:val="en" w:eastAsia="en-AU"/>
    </w:rPr>
  </w:style>
  <w:style w:type="character" w:customStyle="1" w:styleId="Heading6Char">
    <w:name w:val="Heading 6 Char"/>
    <w:basedOn w:val="DefaultParagraphFont"/>
    <w:link w:val="Heading6"/>
    <w:rsid w:val="0023111E"/>
    <w:rPr>
      <w:rFonts w:ascii="Gill Sans MT" w:eastAsia="Times New Roman" w:hAnsi="Gill Sans MT" w:cs="Arial"/>
      <w:bCs/>
      <w:color w:val="005395"/>
      <w:kern w:val="28"/>
      <w:sz w:val="64"/>
      <w:szCs w:val="64"/>
      <w:lang w:eastAsia="en-AU"/>
    </w:rPr>
  </w:style>
  <w:style w:type="character" w:customStyle="1" w:styleId="Heading7Char">
    <w:name w:val="Heading 7 Char"/>
    <w:basedOn w:val="DefaultParagraphFont"/>
    <w:link w:val="Heading7"/>
    <w:rsid w:val="0023111E"/>
    <w:rPr>
      <w:rFonts w:ascii="Gill Sans MT" w:eastAsia="Times New Roman" w:hAnsi="Gill Sans MT" w:cs="Times New Roman"/>
      <w:color w:val="09BEDD"/>
      <w:sz w:val="44"/>
      <w:szCs w:val="44"/>
      <w:lang w:eastAsia="en-AU"/>
    </w:rPr>
  </w:style>
  <w:style w:type="paragraph" w:styleId="Subtitle">
    <w:name w:val="Subtitle"/>
    <w:basedOn w:val="Heading7"/>
    <w:link w:val="SubtitleChar"/>
    <w:qFormat/>
    <w:rsid w:val="00017BB4"/>
    <w:pPr>
      <w:spacing w:after="240" w:line="300" w:lineRule="atLeast"/>
    </w:pPr>
    <w:rPr>
      <w:b/>
      <w:color w:val="CF2F44"/>
    </w:rPr>
  </w:style>
  <w:style w:type="character" w:customStyle="1" w:styleId="SubtitleChar">
    <w:name w:val="Subtitle Char"/>
    <w:basedOn w:val="DefaultParagraphFont"/>
    <w:link w:val="Subtitle"/>
    <w:rsid w:val="00017BB4"/>
    <w:rPr>
      <w:rFonts w:ascii="Gill Sans MT" w:eastAsia="Times New Roman" w:hAnsi="Gill Sans MT" w:cs="Times New Roman"/>
      <w:b/>
      <w:color w:val="CF2F44"/>
      <w:sz w:val="44"/>
      <w:szCs w:val="44"/>
      <w:lang w:eastAsia="en-AU"/>
    </w:rPr>
  </w:style>
  <w:style w:type="character" w:customStyle="1" w:styleId="Heading2Char">
    <w:name w:val="Heading 2 Char"/>
    <w:basedOn w:val="DefaultParagraphFont"/>
    <w:link w:val="Heading2"/>
    <w:uiPriority w:val="9"/>
    <w:rsid w:val="00E33CD4"/>
    <w:rPr>
      <w:rFonts w:ascii="Gill Sans MT" w:eastAsiaTheme="majorEastAsia" w:hAnsi="Gill Sans MT" w:cstheme="majorBidi"/>
      <w:b/>
      <w:color w:val="365F91" w:themeColor="accent1" w:themeShade="BF"/>
      <w:sz w:val="32"/>
      <w:szCs w:val="26"/>
      <w:lang w:eastAsia="en-AU"/>
    </w:rPr>
  </w:style>
  <w:style w:type="paragraph" w:styleId="Title">
    <w:name w:val="Title"/>
    <w:basedOn w:val="Normal"/>
    <w:next w:val="Normal"/>
    <w:link w:val="TitleChar"/>
    <w:uiPriority w:val="10"/>
    <w:qFormat/>
    <w:rsid w:val="00E33CD4"/>
    <w:pPr>
      <w:spacing w:before="240" w:after="60" w:line="360" w:lineRule="auto"/>
      <w:ind w:right="0"/>
      <w:outlineLvl w:val="5"/>
    </w:pPr>
    <w:rPr>
      <w:rFonts w:cs="Arial"/>
      <w:bCs/>
      <w:color w:val="005395"/>
      <w:kern w:val="28"/>
      <w:sz w:val="64"/>
      <w:szCs w:val="64"/>
    </w:rPr>
  </w:style>
  <w:style w:type="character" w:customStyle="1" w:styleId="TitleChar">
    <w:name w:val="Title Char"/>
    <w:basedOn w:val="DefaultParagraphFont"/>
    <w:link w:val="Title"/>
    <w:uiPriority w:val="10"/>
    <w:rsid w:val="00E33CD4"/>
    <w:rPr>
      <w:rFonts w:ascii="Gill Sans MT" w:eastAsia="Times New Roman" w:hAnsi="Gill Sans MT" w:cs="Arial"/>
      <w:bCs/>
      <w:color w:val="005395"/>
      <w:kern w:val="28"/>
      <w:sz w:val="64"/>
      <w:szCs w:val="64"/>
      <w:lang w:eastAsia="en-AU"/>
    </w:rPr>
  </w:style>
  <w:style w:type="paragraph" w:styleId="Header">
    <w:name w:val="header"/>
    <w:basedOn w:val="Normal"/>
    <w:link w:val="HeaderChar"/>
    <w:uiPriority w:val="99"/>
    <w:unhideWhenUsed/>
    <w:rsid w:val="00231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11E"/>
    <w:rPr>
      <w:rFonts w:ascii="Gill Sans MT" w:eastAsia="Times New Roman" w:hAnsi="Gill Sans MT" w:cs="Times New Roman"/>
      <w:szCs w:val="24"/>
      <w:lang w:eastAsia="en-AU"/>
    </w:rPr>
  </w:style>
  <w:style w:type="paragraph" w:styleId="Footer">
    <w:name w:val="footer"/>
    <w:basedOn w:val="Normal"/>
    <w:link w:val="FooterChar"/>
    <w:uiPriority w:val="99"/>
    <w:unhideWhenUsed/>
    <w:rsid w:val="00231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11E"/>
    <w:rPr>
      <w:rFonts w:ascii="Gill Sans MT" w:eastAsia="Times New Roman" w:hAnsi="Gill Sans MT" w:cs="Times New Roman"/>
      <w:szCs w:val="24"/>
      <w:lang w:eastAsia="en-AU"/>
    </w:rPr>
  </w:style>
  <w:style w:type="paragraph" w:styleId="BalloonText">
    <w:name w:val="Balloon Text"/>
    <w:basedOn w:val="Normal"/>
    <w:link w:val="BalloonTextChar"/>
    <w:uiPriority w:val="99"/>
    <w:semiHidden/>
    <w:unhideWhenUsed/>
    <w:rsid w:val="0023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1E"/>
    <w:rPr>
      <w:rFonts w:ascii="Segoe UI" w:eastAsia="Times New Roman" w:hAnsi="Segoe UI" w:cs="Segoe UI"/>
      <w:sz w:val="18"/>
      <w:szCs w:val="18"/>
      <w:lang w:eastAsia="en-AU"/>
    </w:rPr>
  </w:style>
  <w:style w:type="character" w:styleId="Hyperlink">
    <w:name w:val="Hyperlink"/>
    <w:basedOn w:val="DefaultParagraphFont"/>
    <w:uiPriority w:val="99"/>
    <w:unhideWhenUsed/>
    <w:rsid w:val="00C80060"/>
    <w:rPr>
      <w:color w:val="0000FF" w:themeColor="hyperlink"/>
      <w:u w:val="single"/>
    </w:rPr>
  </w:style>
  <w:style w:type="character" w:styleId="UnresolvedMention">
    <w:name w:val="Unresolved Mention"/>
    <w:basedOn w:val="DefaultParagraphFont"/>
    <w:uiPriority w:val="99"/>
    <w:semiHidden/>
    <w:unhideWhenUsed/>
    <w:rsid w:val="00C80060"/>
    <w:rPr>
      <w:color w:val="605E5C"/>
      <w:shd w:val="clear" w:color="auto" w:fill="E1DFDD"/>
    </w:rPr>
  </w:style>
  <w:style w:type="paragraph" w:styleId="ListParagraph">
    <w:name w:val="List Paragraph"/>
    <w:basedOn w:val="Normal"/>
    <w:uiPriority w:val="34"/>
    <w:qFormat/>
    <w:rsid w:val="00C80060"/>
    <w:pPr>
      <w:spacing w:after="160" w:line="259" w:lineRule="auto"/>
      <w:ind w:left="720" w:right="0"/>
      <w:contextualSpacing/>
    </w:pPr>
    <w:rPr>
      <w:rFonts w:asciiTheme="minorHAnsi" w:eastAsiaTheme="minorHAnsi" w:hAnsiTheme="minorHAnsi" w:cstheme="minorBidi"/>
      <w:szCs w:val="22"/>
      <w:lang w:eastAsia="en-US"/>
    </w:rPr>
  </w:style>
  <w:style w:type="character" w:styleId="FollowedHyperlink">
    <w:name w:val="FollowedHyperlink"/>
    <w:basedOn w:val="DefaultParagraphFont"/>
    <w:uiPriority w:val="99"/>
    <w:semiHidden/>
    <w:unhideWhenUsed/>
    <w:rsid w:val="00B93B36"/>
    <w:rPr>
      <w:color w:val="800080" w:themeColor="followedHyperlink"/>
      <w:u w:val="single"/>
    </w:rPr>
  </w:style>
  <w:style w:type="paragraph" w:styleId="FootnoteText">
    <w:name w:val="footnote text"/>
    <w:basedOn w:val="Normal"/>
    <w:link w:val="FootnoteTextChar"/>
    <w:uiPriority w:val="99"/>
    <w:semiHidden/>
    <w:unhideWhenUsed/>
    <w:rsid w:val="004F4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A6E"/>
    <w:rPr>
      <w:rFonts w:ascii="Gill Sans MT" w:eastAsia="Times New Roman" w:hAnsi="Gill Sans MT" w:cs="Times New Roman"/>
      <w:sz w:val="20"/>
      <w:szCs w:val="20"/>
      <w:lang w:eastAsia="en-AU"/>
    </w:rPr>
  </w:style>
  <w:style w:type="character" w:styleId="FootnoteReference">
    <w:name w:val="footnote reference"/>
    <w:basedOn w:val="DefaultParagraphFont"/>
    <w:uiPriority w:val="99"/>
    <w:semiHidden/>
    <w:unhideWhenUsed/>
    <w:rsid w:val="004F4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yperlink" Target="https://www.who.int/health-promoting-schools/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who.int/health-promoting-schools/en/" TargetMode="Externa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ahpsa.org.au/resources/what-is-a-health-promoting-schoo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Layout" Target="diagrams/layout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8854F0-8A69-4CB4-8712-B14CB9D58FF8}" type="doc">
      <dgm:prSet loTypeId="urn:microsoft.com/office/officeart/2005/8/layout/rings+Icon" loCatId="officeonline" qsTypeId="urn:microsoft.com/office/officeart/2005/8/quickstyle/simple1" qsCatId="simple" csTypeId="urn:microsoft.com/office/officeart/2005/8/colors/accent1_2" csCatId="accent1" phldr="1"/>
      <dgm:spPr/>
    </dgm:pt>
    <dgm:pt modelId="{674E10BF-3B51-4E25-AF7E-D6ED095FF511}">
      <dgm:prSet phldrT="[Text]" custT="1"/>
      <dgm:spPr>
        <a:xfrm>
          <a:off x="173352" y="179689"/>
          <a:ext cx="1636945" cy="1636922"/>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AU" sz="1000" b="1">
              <a:solidFill>
                <a:sysClr val="windowText" lastClr="000000"/>
              </a:solidFill>
              <a:latin typeface="Gill Sans MT" panose="020B0502020104020203" pitchFamily="34" charset="0"/>
              <a:ea typeface="+mn-ea"/>
              <a:cs typeface="+mn-cs"/>
            </a:rPr>
            <a:t>PRACTICE</a:t>
          </a:r>
        </a:p>
        <a:p>
          <a:pPr algn="ctr">
            <a:buNone/>
          </a:pPr>
          <a:r>
            <a:rPr lang="en-AU" sz="1000">
              <a:solidFill>
                <a:sysClr val="windowText" lastClr="000000"/>
              </a:solidFill>
              <a:latin typeface="Gill Sans MT" panose="020B0502020104020203" pitchFamily="34" charset="0"/>
              <a:ea typeface="+mn-ea"/>
              <a:cs typeface="+mn-cs"/>
            </a:rPr>
            <a:t>curriculum</a:t>
          </a:r>
        </a:p>
        <a:p>
          <a:pPr algn="ctr">
            <a:buNone/>
          </a:pPr>
          <a:r>
            <a:rPr lang="en-AU" sz="1000">
              <a:solidFill>
                <a:sysClr val="windowText" lastClr="000000"/>
              </a:solidFill>
              <a:latin typeface="Gill Sans MT" panose="020B0502020104020203" pitchFamily="34" charset="0"/>
              <a:ea typeface="+mn-ea"/>
              <a:cs typeface="+mn-cs"/>
            </a:rPr>
            <a:t>teaching </a:t>
          </a:r>
        </a:p>
        <a:p>
          <a:pPr algn="ctr">
            <a:buNone/>
          </a:pPr>
          <a:r>
            <a:rPr lang="en-AU" sz="1000">
              <a:solidFill>
                <a:sysClr val="windowText" lastClr="000000"/>
              </a:solidFill>
              <a:latin typeface="Gill Sans MT" panose="020B0502020104020203" pitchFamily="34" charset="0"/>
              <a:ea typeface="+mn-ea"/>
              <a:cs typeface="+mn-cs"/>
            </a:rPr>
            <a:t>learning</a:t>
          </a:r>
        </a:p>
      </dgm:t>
      <dgm:extLst>
        <a:ext uri="{E40237B7-FDA0-4F09-8148-C483321AD2D9}">
          <dgm14:cNvPr xmlns:dgm14="http://schemas.microsoft.com/office/drawing/2010/diagram" id="0" name="" descr="Venn diagram showing the three elements of a health promoting school.&#10;PRACTICE: curriculum; teaching;&#10;learning.&#10;PARTNERSHIPS: students; families;&#10;wider community; businesses; organisations.&#10;ENVIRONMENT: physical; cultural; policies; procedures."/>
        </a:ext>
      </dgm:extLst>
    </dgm:pt>
    <dgm:pt modelId="{9128545C-5AFC-4DD0-B051-D910998FEA0E}" type="sibTrans" cxnId="{589455BC-ED9F-4F0C-9B01-CDDBA1952EC3}">
      <dgm:prSet/>
      <dgm:spPr/>
      <dgm:t>
        <a:bodyPr/>
        <a:lstStyle/>
        <a:p>
          <a:pPr algn="ctr"/>
          <a:endParaRPr lang="en-AU"/>
        </a:p>
      </dgm:t>
    </dgm:pt>
    <dgm:pt modelId="{D2FA8F8A-9028-45D8-B791-83C0482527A0}" type="parTrans" cxnId="{589455BC-ED9F-4F0C-9B01-CDDBA1952EC3}">
      <dgm:prSet/>
      <dgm:spPr/>
      <dgm:t>
        <a:bodyPr/>
        <a:lstStyle/>
        <a:p>
          <a:pPr algn="ctr"/>
          <a:endParaRPr lang="en-AU"/>
        </a:p>
      </dgm:t>
    </dgm:pt>
    <dgm:pt modelId="{5E98287D-7E6E-4BBB-885F-7F0CE626313B}">
      <dgm:prSet phldrT="[Text]" custT="1"/>
      <dgm:spPr>
        <a:xfrm>
          <a:off x="842550" y="1271409"/>
          <a:ext cx="1636945" cy="1636922"/>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spcBef>
              <a:spcPts val="4200"/>
            </a:spcBef>
            <a:buNone/>
          </a:pPr>
          <a:r>
            <a:rPr lang="en-AU" sz="1000" b="1">
              <a:solidFill>
                <a:sysClr val="windowText" lastClr="000000"/>
              </a:solidFill>
              <a:latin typeface="Gill Sans MT" panose="020B0502020104020203" pitchFamily="34" charset="0"/>
              <a:ea typeface="+mn-ea"/>
              <a:cs typeface="+mn-cs"/>
            </a:rPr>
            <a:t>PARTNERSHIPS</a:t>
          </a:r>
        </a:p>
        <a:p>
          <a:pPr algn="ctr">
            <a:spcBef>
              <a:spcPct val="0"/>
            </a:spcBef>
            <a:buNone/>
          </a:pPr>
          <a:r>
            <a:rPr lang="en-AU" sz="1000">
              <a:solidFill>
                <a:sysClr val="windowText" lastClr="000000"/>
              </a:solidFill>
              <a:latin typeface="Gill Sans MT" panose="020B0502020104020203" pitchFamily="34" charset="0"/>
              <a:ea typeface="+mn-ea"/>
              <a:cs typeface="+mn-cs"/>
            </a:rPr>
            <a:t>students</a:t>
          </a:r>
        </a:p>
        <a:p>
          <a:pPr algn="ctr">
            <a:spcBef>
              <a:spcPct val="0"/>
            </a:spcBef>
            <a:buNone/>
          </a:pPr>
          <a:r>
            <a:rPr lang="en-AU" sz="1000">
              <a:solidFill>
                <a:sysClr val="windowText" lastClr="000000"/>
              </a:solidFill>
              <a:latin typeface="Gill Sans MT" panose="020B0502020104020203" pitchFamily="34" charset="0"/>
              <a:ea typeface="+mn-ea"/>
              <a:cs typeface="+mn-cs"/>
            </a:rPr>
            <a:t>families</a:t>
          </a:r>
        </a:p>
        <a:p>
          <a:pPr algn="ctr">
            <a:spcBef>
              <a:spcPct val="0"/>
            </a:spcBef>
            <a:buNone/>
          </a:pPr>
          <a:r>
            <a:rPr lang="en-AU" sz="1000">
              <a:solidFill>
                <a:sysClr val="windowText" lastClr="000000"/>
              </a:solidFill>
              <a:latin typeface="Gill Sans MT" panose="020B0502020104020203" pitchFamily="34" charset="0"/>
              <a:ea typeface="+mn-ea"/>
              <a:cs typeface="+mn-cs"/>
            </a:rPr>
            <a:t>wider community</a:t>
          </a:r>
        </a:p>
        <a:p>
          <a:pPr algn="ctr">
            <a:spcBef>
              <a:spcPct val="0"/>
            </a:spcBef>
            <a:buNone/>
          </a:pPr>
          <a:r>
            <a:rPr lang="en-AU" sz="1000">
              <a:solidFill>
                <a:sysClr val="windowText" lastClr="000000"/>
              </a:solidFill>
              <a:latin typeface="Gill Sans MT" panose="020B0502020104020203" pitchFamily="34" charset="0"/>
              <a:ea typeface="+mn-ea"/>
              <a:cs typeface="+mn-cs"/>
            </a:rPr>
            <a:t>businesses</a:t>
          </a:r>
        </a:p>
        <a:p>
          <a:pPr algn="ctr">
            <a:spcBef>
              <a:spcPct val="0"/>
            </a:spcBef>
            <a:buNone/>
          </a:pPr>
          <a:r>
            <a:rPr lang="en-AU" sz="1000">
              <a:solidFill>
                <a:sysClr val="windowText" lastClr="000000"/>
              </a:solidFill>
              <a:latin typeface="Gill Sans MT" panose="020B0502020104020203" pitchFamily="34" charset="0"/>
              <a:ea typeface="+mn-ea"/>
              <a:cs typeface="+mn-cs"/>
            </a:rPr>
            <a:t>organisations</a:t>
          </a:r>
        </a:p>
      </dgm:t>
      <dgm:extLst>
        <a:ext uri="{E40237B7-FDA0-4F09-8148-C483321AD2D9}">
          <dgm14:cNvPr xmlns:dgm14="http://schemas.microsoft.com/office/drawing/2010/diagram" id="0" name="" descr="Venn diagram showing the three elements of a health promoting school.&#10;PRACTICE: curriculum; teaching;&#10;learning.&#10;PARTNERSHIPS: students; families;&#10;wider community; businesses; organisations.&#10;ENVIRONMENT: physical; cultural; policies; procedures."/>
        </a:ext>
      </dgm:extLst>
    </dgm:pt>
    <dgm:pt modelId="{E1ADC08A-B199-4636-89C1-D0C557B4684F}" type="sibTrans" cxnId="{C8953A10-B0D9-4583-A455-97DF92B25931}">
      <dgm:prSet/>
      <dgm:spPr/>
      <dgm:t>
        <a:bodyPr/>
        <a:lstStyle/>
        <a:p>
          <a:pPr algn="ctr"/>
          <a:endParaRPr lang="en-AU"/>
        </a:p>
      </dgm:t>
    </dgm:pt>
    <dgm:pt modelId="{04EA0FDE-8747-43D6-A304-C9F0FD0E7488}" type="parTrans" cxnId="{C8953A10-B0D9-4583-A455-97DF92B25931}">
      <dgm:prSet/>
      <dgm:spPr/>
      <dgm:t>
        <a:bodyPr/>
        <a:lstStyle/>
        <a:p>
          <a:pPr algn="ctr"/>
          <a:endParaRPr lang="en-AU"/>
        </a:p>
      </dgm:t>
    </dgm:pt>
    <dgm:pt modelId="{3033B1AB-16E1-4D9D-BF83-03FDF20845FD}">
      <dgm:prSet phldrT="[Text]" custT="1"/>
      <dgm:spPr>
        <a:xfrm>
          <a:off x="1530591" y="179673"/>
          <a:ext cx="1636945" cy="1636922"/>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AU" sz="1000" b="1">
              <a:solidFill>
                <a:sysClr val="windowText" lastClr="000000"/>
              </a:solidFill>
              <a:latin typeface="Gill Sans MT" panose="020B0502020104020203" pitchFamily="34" charset="0"/>
              <a:ea typeface="+mn-ea"/>
              <a:cs typeface="+mn-cs"/>
            </a:rPr>
            <a:t>ENVIRONMENT</a:t>
          </a:r>
        </a:p>
        <a:p>
          <a:pPr algn="ctr">
            <a:buNone/>
          </a:pPr>
          <a:r>
            <a:rPr lang="en-AU" sz="1000">
              <a:solidFill>
                <a:sysClr val="windowText" lastClr="000000"/>
              </a:solidFill>
              <a:latin typeface="Gill Sans MT" panose="020B0502020104020203" pitchFamily="34" charset="0"/>
              <a:ea typeface="+mn-ea"/>
              <a:cs typeface="+mn-cs"/>
            </a:rPr>
            <a:t>physical</a:t>
          </a:r>
        </a:p>
        <a:p>
          <a:pPr algn="ctr">
            <a:buNone/>
          </a:pPr>
          <a:r>
            <a:rPr lang="en-AU" sz="1000">
              <a:solidFill>
                <a:sysClr val="windowText" lastClr="000000"/>
              </a:solidFill>
              <a:latin typeface="Gill Sans MT" panose="020B0502020104020203" pitchFamily="34" charset="0"/>
              <a:ea typeface="+mn-ea"/>
              <a:cs typeface="+mn-cs"/>
            </a:rPr>
            <a:t>cultural</a:t>
          </a:r>
        </a:p>
        <a:p>
          <a:pPr algn="ctr">
            <a:buNone/>
          </a:pPr>
          <a:r>
            <a:rPr lang="en-AU" sz="1000">
              <a:solidFill>
                <a:sysClr val="windowText" lastClr="000000"/>
              </a:solidFill>
              <a:latin typeface="Gill Sans MT" panose="020B0502020104020203" pitchFamily="34" charset="0"/>
              <a:ea typeface="+mn-ea"/>
              <a:cs typeface="+mn-cs"/>
            </a:rPr>
            <a:t>policies</a:t>
          </a:r>
        </a:p>
        <a:p>
          <a:pPr algn="ctr">
            <a:buNone/>
          </a:pPr>
          <a:r>
            <a:rPr lang="en-AU" sz="1000">
              <a:solidFill>
                <a:sysClr val="windowText" lastClr="000000"/>
              </a:solidFill>
              <a:latin typeface="Gill Sans MT" panose="020B0502020104020203" pitchFamily="34" charset="0"/>
              <a:ea typeface="+mn-ea"/>
              <a:cs typeface="+mn-cs"/>
            </a:rPr>
            <a:t>procedures</a:t>
          </a:r>
        </a:p>
      </dgm:t>
      <dgm:extLst>
        <a:ext uri="{E40237B7-FDA0-4F09-8148-C483321AD2D9}">
          <dgm14:cNvPr xmlns:dgm14="http://schemas.microsoft.com/office/drawing/2010/diagram" id="0" name="" descr="Venn diagram showing the three elements of a health promoting school.&#10;PRACTICE: curriculum; teaching;&#10;learning.&#10;PARTNERSHIPS: students; families;&#10;wider community; businesses; organisations.&#10;ENVIRONMENT: physical; cultural; policies; procedures."/>
        </a:ext>
      </dgm:extLst>
    </dgm:pt>
    <dgm:pt modelId="{7E3AD110-370D-415F-A323-8C5FBB5666A1}" type="sibTrans" cxnId="{5D06546A-C940-4E9B-8296-6738FDA4C63F}">
      <dgm:prSet/>
      <dgm:spPr/>
      <dgm:t>
        <a:bodyPr/>
        <a:lstStyle/>
        <a:p>
          <a:pPr algn="ctr"/>
          <a:endParaRPr lang="en-AU"/>
        </a:p>
      </dgm:t>
    </dgm:pt>
    <dgm:pt modelId="{4080D1CA-858D-43AB-9F28-9E1DBB28862F}" type="parTrans" cxnId="{5D06546A-C940-4E9B-8296-6738FDA4C63F}">
      <dgm:prSet/>
      <dgm:spPr/>
      <dgm:t>
        <a:bodyPr/>
        <a:lstStyle/>
        <a:p>
          <a:pPr algn="ctr"/>
          <a:endParaRPr lang="en-AU"/>
        </a:p>
      </dgm:t>
    </dgm:pt>
    <dgm:pt modelId="{0838C5C0-2E90-4EA5-BB93-AC5E07F09AFD}" type="pres">
      <dgm:prSet presAssocID="{308854F0-8A69-4CB4-8712-B14CB9D58FF8}" presName="Name0" presStyleCnt="0">
        <dgm:presLayoutVars>
          <dgm:chMax val="7"/>
          <dgm:dir/>
          <dgm:resizeHandles val="exact"/>
        </dgm:presLayoutVars>
      </dgm:prSet>
      <dgm:spPr/>
    </dgm:pt>
    <dgm:pt modelId="{BEEDAFC4-27CA-46A1-94BE-34A448CCFC5E}" type="pres">
      <dgm:prSet presAssocID="{308854F0-8A69-4CB4-8712-B14CB9D58FF8}" presName="ellipse1" presStyleLbl="vennNode1" presStyleIdx="0" presStyleCnt="3" custLinFactNeighborX="10590" custLinFactNeighborY="1">
        <dgm:presLayoutVars>
          <dgm:bulletEnabled val="1"/>
        </dgm:presLayoutVars>
      </dgm:prSet>
      <dgm:spPr/>
    </dgm:pt>
    <dgm:pt modelId="{A3F3EDFB-F0DB-4674-BFEA-D8001ACF061E}" type="pres">
      <dgm:prSet presAssocID="{308854F0-8A69-4CB4-8712-B14CB9D58FF8}" presName="ellipse2" presStyleLbl="vennNode1" presStyleIdx="1" presStyleCnt="3">
        <dgm:presLayoutVars>
          <dgm:bulletEnabled val="1"/>
        </dgm:presLayoutVars>
      </dgm:prSet>
      <dgm:spPr/>
    </dgm:pt>
    <dgm:pt modelId="{A954FFD2-C10B-4D89-B432-C6618ABF27A3}" type="pres">
      <dgm:prSet presAssocID="{308854F0-8A69-4CB4-8712-B14CB9D58FF8}" presName="ellipse3" presStyleLbl="vennNode1" presStyleIdx="2" presStyleCnt="3" custLinFactNeighborX="-9378">
        <dgm:presLayoutVars>
          <dgm:bulletEnabled val="1"/>
        </dgm:presLayoutVars>
      </dgm:prSet>
      <dgm:spPr/>
    </dgm:pt>
  </dgm:ptLst>
  <dgm:cxnLst>
    <dgm:cxn modelId="{2013FE00-9181-417C-97DB-745216893F6F}" type="presOf" srcId="{5E98287D-7E6E-4BBB-885F-7F0CE626313B}" destId="{A3F3EDFB-F0DB-4674-BFEA-D8001ACF061E}" srcOrd="0" destOrd="0" presId="urn:microsoft.com/office/officeart/2005/8/layout/rings+Icon"/>
    <dgm:cxn modelId="{C8953A10-B0D9-4583-A455-97DF92B25931}" srcId="{308854F0-8A69-4CB4-8712-B14CB9D58FF8}" destId="{5E98287D-7E6E-4BBB-885F-7F0CE626313B}" srcOrd="1" destOrd="0" parTransId="{04EA0FDE-8747-43D6-A304-C9F0FD0E7488}" sibTransId="{E1ADC08A-B199-4636-89C1-D0C557B4684F}"/>
    <dgm:cxn modelId="{5D06546A-C940-4E9B-8296-6738FDA4C63F}" srcId="{308854F0-8A69-4CB4-8712-B14CB9D58FF8}" destId="{3033B1AB-16E1-4D9D-BF83-03FDF20845FD}" srcOrd="2" destOrd="0" parTransId="{4080D1CA-858D-43AB-9F28-9E1DBB28862F}" sibTransId="{7E3AD110-370D-415F-A323-8C5FBB5666A1}"/>
    <dgm:cxn modelId="{BB94B574-9D8B-4783-B641-7FE23A560BEC}" type="presOf" srcId="{3033B1AB-16E1-4D9D-BF83-03FDF20845FD}" destId="{A954FFD2-C10B-4D89-B432-C6618ABF27A3}" srcOrd="0" destOrd="0" presId="urn:microsoft.com/office/officeart/2005/8/layout/rings+Icon"/>
    <dgm:cxn modelId="{E346E29D-6195-46D5-BD9B-FD1AD1C3258A}" type="presOf" srcId="{674E10BF-3B51-4E25-AF7E-D6ED095FF511}" destId="{BEEDAFC4-27CA-46A1-94BE-34A448CCFC5E}" srcOrd="0" destOrd="0" presId="urn:microsoft.com/office/officeart/2005/8/layout/rings+Icon"/>
    <dgm:cxn modelId="{800688A6-87CE-4701-8D77-1EE110713464}" type="presOf" srcId="{308854F0-8A69-4CB4-8712-B14CB9D58FF8}" destId="{0838C5C0-2E90-4EA5-BB93-AC5E07F09AFD}" srcOrd="0" destOrd="0" presId="urn:microsoft.com/office/officeart/2005/8/layout/rings+Icon"/>
    <dgm:cxn modelId="{589455BC-ED9F-4F0C-9B01-CDDBA1952EC3}" srcId="{308854F0-8A69-4CB4-8712-B14CB9D58FF8}" destId="{674E10BF-3B51-4E25-AF7E-D6ED095FF511}" srcOrd="0" destOrd="0" parTransId="{D2FA8F8A-9028-45D8-B791-83C0482527A0}" sibTransId="{9128545C-5AFC-4DD0-B051-D910998FEA0E}"/>
    <dgm:cxn modelId="{02992C4E-C48E-4D92-A1B5-71777C932D95}" type="presParOf" srcId="{0838C5C0-2E90-4EA5-BB93-AC5E07F09AFD}" destId="{BEEDAFC4-27CA-46A1-94BE-34A448CCFC5E}" srcOrd="0" destOrd="0" presId="urn:microsoft.com/office/officeart/2005/8/layout/rings+Icon"/>
    <dgm:cxn modelId="{27292538-16CD-4D56-8764-AC13D0350F06}" type="presParOf" srcId="{0838C5C0-2E90-4EA5-BB93-AC5E07F09AFD}" destId="{A3F3EDFB-F0DB-4674-BFEA-D8001ACF061E}" srcOrd="1" destOrd="0" presId="urn:microsoft.com/office/officeart/2005/8/layout/rings+Icon"/>
    <dgm:cxn modelId="{0E60543C-48DE-49D4-BF8B-F073D79518ED}" type="presParOf" srcId="{0838C5C0-2E90-4EA5-BB93-AC5E07F09AFD}" destId="{A954FFD2-C10B-4D89-B432-C6618ABF27A3}" srcOrd="2" destOrd="0" presId="urn:microsoft.com/office/officeart/2005/8/layout/rings+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DAFC4-27CA-46A1-94BE-34A448CCFC5E}">
      <dsp:nvSpPr>
        <dsp:cNvPr id="0" name=""/>
        <dsp:cNvSpPr/>
      </dsp:nvSpPr>
      <dsp:spPr>
        <a:xfrm>
          <a:off x="167984" y="144465"/>
          <a:ext cx="1586257" cy="158623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solidFill>
                <a:sysClr val="windowText" lastClr="000000"/>
              </a:solidFill>
              <a:latin typeface="Gill Sans MT" panose="020B0502020104020203" pitchFamily="34" charset="0"/>
              <a:ea typeface="+mn-ea"/>
              <a:cs typeface="+mn-cs"/>
            </a:rPr>
            <a:t>PRACTICE</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curriculum</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teaching </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learning</a:t>
          </a:r>
        </a:p>
      </dsp:txBody>
      <dsp:txXfrm>
        <a:off x="400286" y="376764"/>
        <a:ext cx="1121653" cy="1121636"/>
      </dsp:txXfrm>
    </dsp:sp>
    <dsp:sp modelId="{A3F3EDFB-F0DB-4674-BFEA-D8001ACF061E}">
      <dsp:nvSpPr>
        <dsp:cNvPr id="0" name=""/>
        <dsp:cNvSpPr/>
      </dsp:nvSpPr>
      <dsp:spPr>
        <a:xfrm>
          <a:off x="816460" y="1202380"/>
          <a:ext cx="1586257" cy="158623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solidFill>
                <a:sysClr val="windowText" lastClr="000000"/>
              </a:solidFill>
              <a:latin typeface="Gill Sans MT" panose="020B0502020104020203" pitchFamily="34" charset="0"/>
              <a:ea typeface="+mn-ea"/>
              <a:cs typeface="+mn-cs"/>
            </a:rPr>
            <a:t>PARTNERSHIPS</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students</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families</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wider community</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businesses</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organisations</a:t>
          </a:r>
        </a:p>
      </dsp:txBody>
      <dsp:txXfrm>
        <a:off x="1048762" y="1434679"/>
        <a:ext cx="1121653" cy="1121636"/>
      </dsp:txXfrm>
    </dsp:sp>
    <dsp:sp modelId="{A954FFD2-C10B-4D89-B432-C6618ABF27A3}">
      <dsp:nvSpPr>
        <dsp:cNvPr id="0" name=""/>
        <dsp:cNvSpPr/>
      </dsp:nvSpPr>
      <dsp:spPr>
        <a:xfrm>
          <a:off x="1483196" y="144450"/>
          <a:ext cx="1586257" cy="158623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solidFill>
                <a:sysClr val="windowText" lastClr="000000"/>
              </a:solidFill>
              <a:latin typeface="Gill Sans MT" panose="020B0502020104020203" pitchFamily="34" charset="0"/>
              <a:ea typeface="+mn-ea"/>
              <a:cs typeface="+mn-cs"/>
            </a:rPr>
            <a:t>ENVIRONMENT</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physical</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cultural</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policies</a:t>
          </a:r>
        </a:p>
        <a:p>
          <a:pPr marL="0" lvl="0" indent="0" algn="ctr" defTabSz="444500">
            <a:lnSpc>
              <a:spcPct val="90000"/>
            </a:lnSpc>
            <a:spcBef>
              <a:spcPct val="0"/>
            </a:spcBef>
            <a:spcAft>
              <a:spcPct val="35000"/>
            </a:spcAft>
            <a:buNone/>
          </a:pPr>
          <a:r>
            <a:rPr lang="en-AU" sz="1000" kern="1200">
              <a:solidFill>
                <a:sysClr val="windowText" lastClr="000000"/>
              </a:solidFill>
              <a:latin typeface="Gill Sans MT" panose="020B0502020104020203" pitchFamily="34" charset="0"/>
              <a:ea typeface="+mn-ea"/>
              <a:cs typeface="+mn-cs"/>
            </a:rPr>
            <a:t>procedures</a:t>
          </a:r>
        </a:p>
      </dsp:txBody>
      <dsp:txXfrm>
        <a:off x="1715498" y="376749"/>
        <a:ext cx="1121653" cy="1121636"/>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3093</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Healthy Young People Health Promoting Schools Framework</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 Health Promoting Schools Framework</dc:title>
  <dc:subject>Healthy Young People</dc:subject>
  <dc:creator>cburke</dc:creator>
  <cp:keywords/>
  <dc:description/>
  <cp:lastModifiedBy>Grubb, Morgan A</cp:lastModifiedBy>
  <cp:revision>2</cp:revision>
  <cp:lastPrinted>2019-09-06T06:20:00Z</cp:lastPrinted>
  <dcterms:created xsi:type="dcterms:W3CDTF">2024-01-11T00:02:00Z</dcterms:created>
  <dcterms:modified xsi:type="dcterms:W3CDTF">2024-01-11T00:02:00Z</dcterms:modified>
</cp:coreProperties>
</file>