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1C662" w14:textId="77777777" w:rsidR="00AA5EFE" w:rsidRPr="00AA5EFE" w:rsidRDefault="00AA5EFE" w:rsidP="00AA5EFE">
      <w:pPr>
        <w:pStyle w:val="Title"/>
        <w:spacing w:line="276" w:lineRule="auto"/>
      </w:pPr>
      <w:r w:rsidRPr="00AA5EFE">
        <w:t>Youth Participation and Leadership</w:t>
      </w:r>
    </w:p>
    <w:p w14:paraId="5844525A" w14:textId="77777777" w:rsidR="00AA5EFE" w:rsidRPr="00AA5EFE" w:rsidRDefault="00AA5EFE" w:rsidP="00AA5EFE">
      <w:pPr>
        <w:tabs>
          <w:tab w:val="left" w:pos="5592"/>
        </w:tabs>
        <w:ind w:right="0"/>
      </w:pPr>
      <w:r w:rsidRPr="00AA5EFE">
        <w:t xml:space="preserve">Having a voice, being able to raise concerns and having these concerns addressed are an important part of young people’s wellbeing.  Health outcomes can be improved when young people are active participants in decisions that affect their health and wellbeing.  </w:t>
      </w:r>
    </w:p>
    <w:p w14:paraId="50181BBD" w14:textId="77777777" w:rsidR="00AA5EFE" w:rsidRPr="00AA5EFE" w:rsidRDefault="00AA5EFE" w:rsidP="00AA5EFE">
      <w:pPr>
        <w:tabs>
          <w:tab w:val="left" w:pos="5592"/>
        </w:tabs>
        <w:ind w:right="0"/>
      </w:pPr>
      <w:r w:rsidRPr="00AA5EFE">
        <w:t>Youth participation and youth leadership are also known by other terms including youth development, citizenship, youth empowerment and young people’s voices.  In schools it is often referred to as student voice.</w:t>
      </w:r>
    </w:p>
    <w:p w14:paraId="47ED01B8" w14:textId="77777777" w:rsidR="002E4EF0" w:rsidRDefault="00AA5EFE" w:rsidP="00796807">
      <w:pPr>
        <w:tabs>
          <w:tab w:val="left" w:pos="5592"/>
        </w:tabs>
        <w:spacing w:after="0"/>
        <w:ind w:right="0"/>
      </w:pPr>
      <w:r w:rsidRPr="00AA5EFE">
        <w:t xml:space="preserve">Youth participation can vary from simple consultation through to full involvement in decision-making. For examples of youth participation strategies and to see how Tasmanian young people define youth participation see </w:t>
      </w:r>
      <w:hyperlink r:id="rId7" w:history="1">
        <w:r w:rsidRPr="00AA5EFE">
          <w:rPr>
            <w:rStyle w:val="Hyperlink"/>
          </w:rPr>
          <w:t>Youth Matter</w:t>
        </w:r>
      </w:hyperlink>
      <w:r w:rsidR="003421F5">
        <w:rPr>
          <w:rStyle w:val="FootnoteReference"/>
          <w:color w:val="0000FF" w:themeColor="hyperlink"/>
          <w:u w:val="single"/>
        </w:rPr>
        <w:footnoteReference w:id="1"/>
      </w:r>
    </w:p>
    <w:p w14:paraId="6A67C46F" w14:textId="77777777" w:rsidR="00AA5EFE" w:rsidRPr="00C80060" w:rsidRDefault="00AA5EFE" w:rsidP="00796807">
      <w:pPr>
        <w:tabs>
          <w:tab w:val="left" w:pos="5592"/>
        </w:tabs>
        <w:spacing w:after="0"/>
        <w:ind w:right="0"/>
      </w:pPr>
    </w:p>
    <w:p w14:paraId="29E7D94D" w14:textId="77777777" w:rsidR="00AA5EFE" w:rsidRPr="00AA5EFE" w:rsidRDefault="00AA5EFE" w:rsidP="00AA5EFE">
      <w:pPr>
        <w:pStyle w:val="Heading1"/>
        <w:ind w:right="0"/>
      </w:pPr>
      <w:r w:rsidRPr="00AA5EFE">
        <w:t>Youth participation and leadership in HYP</w:t>
      </w:r>
    </w:p>
    <w:p w14:paraId="3E8825EE" w14:textId="77777777" w:rsidR="00AA5EFE" w:rsidRPr="00AA5EFE" w:rsidRDefault="00AA5EFE" w:rsidP="00AA5EFE">
      <w:r w:rsidRPr="00AA5EFE">
        <w:t xml:space="preserve">The Healthy Young People resources and Mission steps provide an opportunity for young people to participate and take leadership in creating a health promoting school or service. </w:t>
      </w:r>
    </w:p>
    <w:p w14:paraId="0823F5D4" w14:textId="77777777" w:rsidR="00AA5EFE" w:rsidRPr="00AA5EFE" w:rsidRDefault="00AA5EFE" w:rsidP="00AA5EFE">
      <w:r w:rsidRPr="00AA5EFE">
        <w:t>Young people are empowered and encouraged to:</w:t>
      </w:r>
    </w:p>
    <w:p w14:paraId="669A7BBD" w14:textId="77777777" w:rsidR="00AA5EFE" w:rsidRPr="00AA5EFE" w:rsidRDefault="00AA5EFE" w:rsidP="00AA5EFE">
      <w:pPr>
        <w:numPr>
          <w:ilvl w:val="0"/>
          <w:numId w:val="10"/>
        </w:numPr>
      </w:pPr>
      <w:r w:rsidRPr="00AA5EFE">
        <w:t>Research health information</w:t>
      </w:r>
    </w:p>
    <w:p w14:paraId="4F89E491" w14:textId="77777777" w:rsidR="00AA5EFE" w:rsidRPr="00AA5EFE" w:rsidRDefault="00AA5EFE" w:rsidP="00AA5EFE">
      <w:pPr>
        <w:numPr>
          <w:ilvl w:val="0"/>
          <w:numId w:val="10"/>
        </w:numPr>
      </w:pPr>
      <w:r w:rsidRPr="00AA5EFE">
        <w:t>Identify how the environment currently supports or limits healthy behaviours</w:t>
      </w:r>
    </w:p>
    <w:p w14:paraId="78125F85" w14:textId="77777777" w:rsidR="00AA5EFE" w:rsidRPr="00AA5EFE" w:rsidRDefault="00AA5EFE" w:rsidP="00AA5EFE">
      <w:pPr>
        <w:numPr>
          <w:ilvl w:val="0"/>
          <w:numId w:val="10"/>
        </w:numPr>
      </w:pPr>
      <w:r w:rsidRPr="00AA5EFE">
        <w:t>Identify opportunities to inform and influence policy, practice and environment</w:t>
      </w:r>
    </w:p>
    <w:p w14:paraId="73E77124" w14:textId="77777777" w:rsidR="00AA5EFE" w:rsidRDefault="00AA5EFE" w:rsidP="00796807">
      <w:pPr>
        <w:numPr>
          <w:ilvl w:val="0"/>
          <w:numId w:val="10"/>
        </w:numPr>
        <w:spacing w:after="0"/>
      </w:pPr>
      <w:r w:rsidRPr="00AA5EFE">
        <w:t>Plan, implement and evaluate strategies to make healthy choices easier.</w:t>
      </w:r>
    </w:p>
    <w:p w14:paraId="10EC6DCA" w14:textId="77777777" w:rsidR="00AA5EFE" w:rsidRPr="00F115B3" w:rsidRDefault="00AA5EFE" w:rsidP="00796807">
      <w:pPr>
        <w:spacing w:after="0"/>
        <w:ind w:left="720"/>
      </w:pPr>
    </w:p>
    <w:p w14:paraId="593C8DA9" w14:textId="77777777" w:rsidR="000845B3" w:rsidRPr="00AA5EFE" w:rsidRDefault="00AA5EFE" w:rsidP="00AA5EFE">
      <w:pPr>
        <w:pStyle w:val="Heading1"/>
      </w:pPr>
      <w:r w:rsidRPr="00AA5EFE">
        <w:t>Why youth participation and leadership?</w:t>
      </w:r>
    </w:p>
    <w:p w14:paraId="03137DD7" w14:textId="77777777" w:rsidR="00AA5EFE" w:rsidRPr="00AA5EFE" w:rsidRDefault="00AA5EFE" w:rsidP="00AA5EFE">
      <w:pPr>
        <w:tabs>
          <w:tab w:val="left" w:pos="5592"/>
        </w:tabs>
        <w:ind w:right="0"/>
      </w:pPr>
      <w:r w:rsidRPr="00AA5EFE">
        <w:t xml:space="preserve">Enabling students to have opportunities to lead change and participate in decisions can have a positive impact on both individual students and the school community. The health of young people can be improved when they have a say and have their opinion heard and valued.  </w:t>
      </w:r>
    </w:p>
    <w:p w14:paraId="1DCF54BC" w14:textId="77777777" w:rsidR="00AA5EFE" w:rsidRDefault="00AA5EFE" w:rsidP="00C80060">
      <w:pPr>
        <w:tabs>
          <w:tab w:val="left" w:pos="5592"/>
        </w:tabs>
        <w:ind w:right="0"/>
        <w:sectPr w:rsidR="00AA5EFE" w:rsidSect="00244268">
          <w:headerReference w:type="even" r:id="rId8"/>
          <w:headerReference w:type="default" r:id="rId9"/>
          <w:footerReference w:type="default" r:id="rId10"/>
          <w:headerReference w:type="first" r:id="rId11"/>
          <w:footerReference w:type="first" r:id="rId12"/>
          <w:pgSz w:w="11906" w:h="16838" w:code="9"/>
          <w:pgMar w:top="238" w:right="1304" w:bottom="1440" w:left="1304" w:header="0" w:footer="0" w:gutter="0"/>
          <w:cols w:space="708"/>
          <w:titlePg/>
          <w:docGrid w:linePitch="360"/>
        </w:sectPr>
      </w:pPr>
    </w:p>
    <w:p w14:paraId="35F2698C" w14:textId="77777777" w:rsidR="00AA5EFE" w:rsidRPr="00AA5EFE" w:rsidRDefault="00AA5EFE" w:rsidP="00AA5EFE">
      <w:pPr>
        <w:pStyle w:val="Heading2"/>
      </w:pPr>
      <w:r w:rsidRPr="00A55F18">
        <w:lastRenderedPageBreak/>
        <w:t>Learning outcomes</w:t>
      </w:r>
    </w:p>
    <w:p w14:paraId="2FC7E1A6" w14:textId="77777777" w:rsidR="00AA5EFE" w:rsidRPr="00A55F18" w:rsidRDefault="00AA5EFE" w:rsidP="00AA5EFE">
      <w:r w:rsidRPr="00A55F18">
        <w:t>Health promotion programs led by young people can develop practical skills in teamwork, communication and leadership. They may also lead to increased understanding of the environmental, political, physical and social aspects that affect choices and develop an understanding of social marketing approaches to health promotion.</w:t>
      </w:r>
      <w:r w:rsidRPr="00A55F18">
        <w:rPr>
          <w:rStyle w:val="EndnoteReference"/>
        </w:rPr>
        <w:endnoteReference w:id="1"/>
      </w:r>
    </w:p>
    <w:p w14:paraId="22286337" w14:textId="77777777" w:rsidR="00AA5EFE" w:rsidRPr="00A55F18" w:rsidRDefault="00AA5EFE" w:rsidP="00AA5EFE">
      <w:pPr>
        <w:pStyle w:val="Heading2"/>
      </w:pPr>
      <w:r w:rsidRPr="00A55F18">
        <w:t>Student wellbeing</w:t>
      </w:r>
    </w:p>
    <w:p w14:paraId="0272FA85" w14:textId="77777777" w:rsidR="00AA5EFE" w:rsidRPr="001A015F" w:rsidRDefault="00AA5EFE" w:rsidP="00AA5EFE">
      <w:pPr>
        <w:rPr>
          <w:rFonts w:cs="Gill Sans"/>
          <w:highlight w:val="yellow"/>
        </w:rPr>
      </w:pPr>
      <w:r w:rsidRPr="00A55F18">
        <w:t xml:space="preserve">Youth participation and leaderships can have significant benefits for young people’s wellbeing including a positive sense of </w:t>
      </w:r>
      <w:r w:rsidRPr="00A55F18">
        <w:rPr>
          <w:rFonts w:cs="Gill Sans"/>
        </w:rPr>
        <w:t>belonging, self-identity and self-esteem. Young people can develop skills, confidence and provide a unique perspective and improve outcomes for policies or programs. For more information on wellbeing see the</w:t>
      </w:r>
      <w:r w:rsidRPr="00A55F18">
        <w:t xml:space="preserve"> </w:t>
      </w:r>
      <w:hyperlink r:id="rId13" w:history="1">
        <w:r w:rsidRPr="001A015F">
          <w:rPr>
            <w:rStyle w:val="Hyperlink"/>
          </w:rPr>
          <w:t>Tasmanian Child and Youth Wellbeing Framework</w:t>
        </w:r>
      </w:hyperlink>
      <w:r w:rsidR="003421F5">
        <w:rPr>
          <w:rStyle w:val="FootnoteReference"/>
          <w:color w:val="0000FF" w:themeColor="hyperlink"/>
          <w:u w:val="single"/>
        </w:rPr>
        <w:footnoteReference w:id="2"/>
      </w:r>
      <w:r w:rsidRPr="00A55F18">
        <w:t xml:space="preserve"> and the Department of Education</w:t>
      </w:r>
      <w:r w:rsidR="00941103">
        <w:t>’s</w:t>
      </w:r>
      <w:r w:rsidRPr="00A55F18">
        <w:t xml:space="preserve"> </w:t>
      </w:r>
      <w:hyperlink r:id="rId14" w:history="1">
        <w:r w:rsidRPr="001A015F">
          <w:rPr>
            <w:rStyle w:val="Hyperlink"/>
          </w:rPr>
          <w:t>Child and Student Wellbeing Strategy</w:t>
        </w:r>
      </w:hyperlink>
      <w:r w:rsidR="003421F5">
        <w:rPr>
          <w:rStyle w:val="FootnoteReference"/>
          <w:color w:val="0000FF" w:themeColor="hyperlink"/>
          <w:u w:val="single"/>
        </w:rPr>
        <w:footnoteReference w:id="3"/>
      </w:r>
      <w:r w:rsidRPr="001A015F">
        <w:rPr>
          <w:rStyle w:val="Hyperlink"/>
        </w:rPr>
        <w:t>.</w:t>
      </w:r>
    </w:p>
    <w:p w14:paraId="10016303" w14:textId="77777777" w:rsidR="00AA5EFE" w:rsidRPr="00A55F18" w:rsidRDefault="00AA5EFE" w:rsidP="00AA5EFE">
      <w:pPr>
        <w:pStyle w:val="Heading2"/>
      </w:pPr>
      <w:r w:rsidRPr="00A55F18">
        <w:t>Peer influence</w:t>
      </w:r>
    </w:p>
    <w:p w14:paraId="20402164" w14:textId="77777777" w:rsidR="00AA5EFE" w:rsidRPr="00A55F18" w:rsidRDefault="00AA5EFE" w:rsidP="00AA5EFE">
      <w:pPr>
        <w:rPr>
          <w:rFonts w:cs="Gill Sans"/>
        </w:rPr>
      </w:pPr>
      <w:r w:rsidRPr="00A55F18">
        <w:rPr>
          <w:rFonts w:cs="Gill Sans"/>
        </w:rPr>
        <w:t xml:space="preserve">The World Health Organization identifies that peers are an important part of the environment with which young people interact, thereby forming part of their attitudes, beliefs, intentions and behaviour. Young people can influence their peers in ways that other interventions cannot.  Therefore, participation of young people in any form of health promotion activity is critical.  In particular, peer-led interventions may be able to alter young people’s perceptions of social norms or attitudes towards behaviours. </w:t>
      </w:r>
      <w:r w:rsidRPr="00A55F18">
        <w:rPr>
          <w:rStyle w:val="EndnoteReference"/>
          <w:rFonts w:cs="Gill Sans"/>
        </w:rPr>
        <w:endnoteReference w:id="2"/>
      </w:r>
    </w:p>
    <w:p w14:paraId="574DC5C1" w14:textId="77777777" w:rsidR="00AA5EFE" w:rsidRPr="00AA5EFE" w:rsidRDefault="00AA5EFE" w:rsidP="00AA5EFE">
      <w:pPr>
        <w:pStyle w:val="Heading1"/>
      </w:pPr>
      <w:r w:rsidRPr="00AA5EFE">
        <w:t>Supporting youth participation and leadership</w:t>
      </w:r>
    </w:p>
    <w:p w14:paraId="5DA86171" w14:textId="77777777" w:rsidR="00AA5EFE" w:rsidRPr="00AA5EFE" w:rsidRDefault="00AA5EFE" w:rsidP="00AA5EFE">
      <w:pPr>
        <w:spacing w:after="160" w:line="259" w:lineRule="auto"/>
        <w:ind w:right="0"/>
        <w:rPr>
          <w:rFonts w:eastAsia="Calibri"/>
          <w:szCs w:val="22"/>
          <w:lang w:eastAsia="en-US"/>
        </w:rPr>
      </w:pPr>
      <w:r w:rsidRPr="00AA5EFE">
        <w:rPr>
          <w:rFonts w:eastAsia="Calibri"/>
          <w:szCs w:val="22"/>
          <w:lang w:eastAsia="en-US"/>
        </w:rPr>
        <w:t>Young people need to be given opportunities to participate in the design and implementation of health promotion programs within their schools but t</w:t>
      </w:r>
      <w:r w:rsidRPr="00AA5EFE">
        <w:rPr>
          <w:rFonts w:eastAsia="Calibri" w:cs="Gill Sans"/>
          <w:szCs w:val="22"/>
          <w:lang w:eastAsia="en-US"/>
        </w:rPr>
        <w:t>o ensure the success and sustainability a high level of adult participation is critical.</w:t>
      </w:r>
    </w:p>
    <w:p w14:paraId="1FAF0E36" w14:textId="77777777" w:rsidR="00AA5EFE" w:rsidRDefault="00AA5EFE" w:rsidP="00BC424F">
      <w:pPr>
        <w:spacing w:after="0" w:line="259" w:lineRule="auto"/>
        <w:ind w:right="0"/>
        <w:rPr>
          <w:rFonts w:eastAsia="Calibri"/>
          <w:szCs w:val="22"/>
          <w:lang w:eastAsia="en-US"/>
        </w:rPr>
      </w:pPr>
      <w:r w:rsidRPr="00AA5EFE">
        <w:rPr>
          <w:rFonts w:eastAsia="Calibri"/>
          <w:szCs w:val="22"/>
          <w:lang w:eastAsia="en-US"/>
        </w:rPr>
        <w:t xml:space="preserve">When running the HYP Missions, it is the role of the teacher or other staff member to support and encourage young people.  It is important that there is capacity and commitment to implement changes that are suggested. </w:t>
      </w:r>
    </w:p>
    <w:p w14:paraId="19C0DF26" w14:textId="77777777" w:rsidR="00AA5EFE" w:rsidRPr="00AA5EFE" w:rsidRDefault="00AA5EFE" w:rsidP="00796807">
      <w:pPr>
        <w:spacing w:after="0" w:line="259" w:lineRule="auto"/>
        <w:ind w:right="0"/>
        <w:rPr>
          <w:rFonts w:eastAsia="Calibri"/>
          <w:szCs w:val="22"/>
          <w:lang w:eastAsia="en-US"/>
        </w:rPr>
      </w:pPr>
    </w:p>
    <w:p w14:paraId="173D6AC2" w14:textId="77777777" w:rsidR="00AA5EFE" w:rsidRPr="00AA5EFE" w:rsidRDefault="00AA5EFE" w:rsidP="00AA5EFE">
      <w:pPr>
        <w:pStyle w:val="Heading1"/>
      </w:pPr>
      <w:r w:rsidRPr="00AA5EFE">
        <w:t>A whole school approach to youth participation and leadership</w:t>
      </w:r>
    </w:p>
    <w:p w14:paraId="2A353F90" w14:textId="77777777" w:rsidR="00AA5EFE" w:rsidRDefault="00AA5EFE" w:rsidP="00AA5EFE">
      <w:pPr>
        <w:spacing w:after="160" w:line="259" w:lineRule="auto"/>
        <w:ind w:right="0"/>
        <w:rPr>
          <w:rFonts w:eastAsia="Calibri"/>
          <w:szCs w:val="22"/>
          <w:lang w:eastAsia="en-US"/>
        </w:rPr>
      </w:pPr>
      <w:r w:rsidRPr="00AA5EFE">
        <w:rPr>
          <w:rFonts w:eastAsia="Calibri"/>
          <w:szCs w:val="22"/>
          <w:lang w:eastAsia="en-US"/>
        </w:rPr>
        <w:t>Here are some ideas to embed youth participation and leadership in yo</w:t>
      </w:r>
      <w:bookmarkStart w:id="0" w:name="_GoBack"/>
      <w:bookmarkEnd w:id="0"/>
      <w:r w:rsidRPr="00AA5EFE">
        <w:rPr>
          <w:rFonts w:eastAsia="Calibri"/>
          <w:szCs w:val="22"/>
          <w:lang w:eastAsia="en-US"/>
        </w:rPr>
        <w:t xml:space="preserve">ur school.  </w:t>
      </w:r>
    </w:p>
    <w:p w14:paraId="57D43BCC" w14:textId="77777777" w:rsidR="00AA5EFE" w:rsidRPr="00AA5EFE" w:rsidRDefault="00AA5EFE" w:rsidP="00AA5EFE">
      <w:pPr>
        <w:pStyle w:val="Heading2"/>
        <w:rPr>
          <w:rFonts w:eastAsia="Calibri"/>
          <w:lang w:eastAsia="en-US"/>
        </w:rPr>
      </w:pPr>
      <w:r w:rsidRPr="00AA5EFE">
        <w:rPr>
          <w:rFonts w:eastAsia="Calibri"/>
          <w:lang w:eastAsia="en-US"/>
        </w:rPr>
        <w:lastRenderedPageBreak/>
        <w:t>School environment</w:t>
      </w:r>
    </w:p>
    <w:p w14:paraId="0406DBB4" w14:textId="77777777" w:rsidR="00AA5EFE" w:rsidRPr="00AA5EFE" w:rsidRDefault="00AA5EFE" w:rsidP="00AA5EFE">
      <w:pPr>
        <w:keepNext/>
        <w:keepLines/>
        <w:numPr>
          <w:ilvl w:val="0"/>
          <w:numId w:val="11"/>
        </w:numPr>
        <w:spacing w:before="40" w:after="0" w:line="259" w:lineRule="auto"/>
        <w:ind w:right="0"/>
        <w:outlineLvl w:val="1"/>
        <w:rPr>
          <w:rFonts w:eastAsia="Calibri"/>
          <w:szCs w:val="22"/>
          <w:lang w:eastAsia="en-US"/>
        </w:rPr>
      </w:pPr>
      <w:r w:rsidRPr="00AA5EFE">
        <w:rPr>
          <w:rFonts w:eastAsia="Calibri"/>
          <w:szCs w:val="22"/>
          <w:lang w:eastAsia="en-US"/>
        </w:rPr>
        <w:t>Support student leaders to identify and implement changes to create a healthier school environment.</w:t>
      </w:r>
    </w:p>
    <w:p w14:paraId="16272CA9" w14:textId="77777777" w:rsidR="00AA5EFE" w:rsidRDefault="00AA5EFE" w:rsidP="00AA5EFE">
      <w:pPr>
        <w:keepNext/>
        <w:keepLines/>
        <w:numPr>
          <w:ilvl w:val="0"/>
          <w:numId w:val="11"/>
        </w:numPr>
        <w:spacing w:before="40" w:after="0" w:line="259" w:lineRule="auto"/>
        <w:ind w:right="0"/>
        <w:outlineLvl w:val="1"/>
        <w:rPr>
          <w:rFonts w:eastAsia="Calibri"/>
          <w:szCs w:val="22"/>
          <w:lang w:eastAsia="en-US"/>
        </w:rPr>
      </w:pPr>
      <w:r w:rsidRPr="00AA5EFE">
        <w:rPr>
          <w:rFonts w:eastAsia="Calibri"/>
          <w:szCs w:val="22"/>
          <w:lang w:eastAsia="en-US"/>
        </w:rPr>
        <w:t>Encourage student input into the design/layout of eating and recreational areas.</w:t>
      </w:r>
    </w:p>
    <w:p w14:paraId="77E8FF92" w14:textId="77777777" w:rsidR="00AA5EFE" w:rsidRPr="00AA5EFE" w:rsidRDefault="00AA5EFE" w:rsidP="00AA5EFE">
      <w:pPr>
        <w:keepNext/>
        <w:keepLines/>
        <w:spacing w:before="40" w:after="0" w:line="259" w:lineRule="auto"/>
        <w:ind w:left="720" w:right="0"/>
        <w:outlineLvl w:val="1"/>
        <w:rPr>
          <w:rFonts w:eastAsia="Calibri"/>
          <w:szCs w:val="22"/>
          <w:lang w:eastAsia="en-US"/>
        </w:rPr>
      </w:pPr>
    </w:p>
    <w:p w14:paraId="40A17C60" w14:textId="77777777" w:rsidR="00AA5EFE" w:rsidRPr="00AA5EFE" w:rsidRDefault="00AA5EFE" w:rsidP="00AA5EFE">
      <w:pPr>
        <w:pStyle w:val="Heading2"/>
        <w:rPr>
          <w:rFonts w:eastAsia="Calibri"/>
          <w:lang w:eastAsia="en-US"/>
        </w:rPr>
      </w:pPr>
      <w:r w:rsidRPr="00AA5EFE">
        <w:rPr>
          <w:rFonts w:eastAsia="Calibri"/>
          <w:lang w:eastAsia="en-US"/>
        </w:rPr>
        <w:t>School policy</w:t>
      </w:r>
    </w:p>
    <w:p w14:paraId="0E2D3DED" w14:textId="77777777" w:rsidR="00AA5EFE" w:rsidRPr="00AA5EFE" w:rsidRDefault="00AA5EFE" w:rsidP="00AA5EFE">
      <w:pPr>
        <w:keepNext/>
        <w:keepLines/>
        <w:numPr>
          <w:ilvl w:val="0"/>
          <w:numId w:val="11"/>
        </w:numPr>
        <w:spacing w:before="40" w:after="0" w:line="259" w:lineRule="auto"/>
        <w:ind w:right="0"/>
        <w:outlineLvl w:val="1"/>
        <w:rPr>
          <w:rFonts w:eastAsia="Calibri"/>
          <w:szCs w:val="22"/>
          <w:lang w:eastAsia="en-US"/>
        </w:rPr>
      </w:pPr>
      <w:r w:rsidRPr="00AA5EFE">
        <w:rPr>
          <w:rFonts w:eastAsia="Calibri"/>
          <w:szCs w:val="22"/>
          <w:lang w:eastAsia="en-US"/>
        </w:rPr>
        <w:t>Have a written policy, endorsed by the school leadership that encourages youth leadership and participation at the school.</w:t>
      </w:r>
    </w:p>
    <w:p w14:paraId="78AD78C6" w14:textId="77777777" w:rsidR="00AA5EFE" w:rsidRPr="00AA5EFE" w:rsidRDefault="00AA5EFE" w:rsidP="00AA5EFE">
      <w:pPr>
        <w:spacing w:after="160" w:line="259" w:lineRule="auto"/>
        <w:ind w:right="0"/>
        <w:rPr>
          <w:rFonts w:eastAsia="Calibri"/>
          <w:szCs w:val="22"/>
          <w:lang w:eastAsia="en-US"/>
        </w:rPr>
      </w:pPr>
    </w:p>
    <w:p w14:paraId="31FF2F4E" w14:textId="77777777" w:rsidR="00AA5EFE" w:rsidRPr="00AA5EFE" w:rsidRDefault="00AA5EFE" w:rsidP="00AA5EFE">
      <w:pPr>
        <w:pStyle w:val="Heading2"/>
        <w:rPr>
          <w:rFonts w:eastAsia="Calibri"/>
          <w:lang w:eastAsia="en-US"/>
        </w:rPr>
      </w:pPr>
      <w:r w:rsidRPr="00AA5EFE">
        <w:rPr>
          <w:rFonts w:eastAsia="Calibri"/>
          <w:lang w:eastAsia="en-US"/>
        </w:rPr>
        <w:t>School ethos</w:t>
      </w:r>
    </w:p>
    <w:p w14:paraId="25C6820E" w14:textId="77777777" w:rsidR="00AA5EFE" w:rsidRPr="00AA5EFE" w:rsidRDefault="00AA5EFE" w:rsidP="00AA5EFE">
      <w:pPr>
        <w:keepNext/>
        <w:keepLines/>
        <w:numPr>
          <w:ilvl w:val="0"/>
          <w:numId w:val="12"/>
        </w:numPr>
        <w:spacing w:before="40" w:after="0" w:line="259" w:lineRule="auto"/>
        <w:ind w:right="0"/>
        <w:outlineLvl w:val="1"/>
        <w:rPr>
          <w:rFonts w:eastAsia="Calibri"/>
          <w:szCs w:val="22"/>
          <w:lang w:eastAsia="en-US"/>
        </w:rPr>
      </w:pPr>
      <w:r w:rsidRPr="00AA5EFE">
        <w:rPr>
          <w:rFonts w:eastAsia="Calibri"/>
          <w:szCs w:val="22"/>
          <w:lang w:eastAsia="en-US"/>
        </w:rPr>
        <w:t>Include a statement in the school mission statement about providing an environment that encourages youth leadership and participation.</w:t>
      </w:r>
    </w:p>
    <w:p w14:paraId="4B7807D6" w14:textId="77777777" w:rsidR="00AA5EFE" w:rsidRPr="00AA5EFE" w:rsidRDefault="00AA5EFE" w:rsidP="00AA5EFE">
      <w:pPr>
        <w:keepNext/>
        <w:keepLines/>
        <w:numPr>
          <w:ilvl w:val="0"/>
          <w:numId w:val="12"/>
        </w:numPr>
        <w:spacing w:before="40" w:after="0" w:line="259" w:lineRule="auto"/>
        <w:ind w:right="0"/>
        <w:outlineLvl w:val="1"/>
        <w:rPr>
          <w:rFonts w:eastAsia="Calibri"/>
          <w:szCs w:val="22"/>
          <w:lang w:eastAsia="en-US"/>
        </w:rPr>
      </w:pPr>
      <w:r w:rsidRPr="00AA5EFE">
        <w:rPr>
          <w:rFonts w:eastAsia="Calibri"/>
          <w:szCs w:val="22"/>
          <w:lang w:eastAsia="en-US"/>
        </w:rPr>
        <w:t>Encourage staff to use youth engagement strategies.</w:t>
      </w:r>
    </w:p>
    <w:p w14:paraId="56D171C9" w14:textId="77777777" w:rsidR="00AA5EFE" w:rsidRPr="00AA5EFE" w:rsidRDefault="00AA5EFE" w:rsidP="00AA5EFE">
      <w:pPr>
        <w:keepNext/>
        <w:keepLines/>
        <w:numPr>
          <w:ilvl w:val="0"/>
          <w:numId w:val="12"/>
        </w:numPr>
        <w:spacing w:before="40" w:after="0" w:line="259" w:lineRule="auto"/>
        <w:ind w:right="0"/>
        <w:outlineLvl w:val="1"/>
        <w:rPr>
          <w:rFonts w:eastAsia="Calibri"/>
          <w:szCs w:val="22"/>
          <w:lang w:eastAsia="en-US"/>
        </w:rPr>
      </w:pPr>
      <w:r w:rsidRPr="00AA5EFE">
        <w:rPr>
          <w:rFonts w:eastAsia="Calibri"/>
          <w:szCs w:val="22"/>
          <w:lang w:eastAsia="en-US"/>
        </w:rPr>
        <w:t>Empower students to make decisions concerning their school.</w:t>
      </w:r>
    </w:p>
    <w:p w14:paraId="3C070C14" w14:textId="77777777" w:rsidR="00AA5EFE" w:rsidRDefault="00AA5EFE" w:rsidP="00AA5EFE">
      <w:pPr>
        <w:keepNext/>
        <w:keepLines/>
        <w:numPr>
          <w:ilvl w:val="0"/>
          <w:numId w:val="12"/>
        </w:numPr>
        <w:spacing w:before="40" w:after="0" w:line="259" w:lineRule="auto"/>
        <w:ind w:right="0"/>
        <w:outlineLvl w:val="1"/>
        <w:rPr>
          <w:rFonts w:eastAsia="Calibri"/>
          <w:szCs w:val="22"/>
          <w:lang w:eastAsia="en-US"/>
        </w:rPr>
      </w:pPr>
      <w:r w:rsidRPr="00AA5EFE">
        <w:rPr>
          <w:rFonts w:eastAsia="Calibri"/>
          <w:szCs w:val="22"/>
          <w:lang w:eastAsia="en-US"/>
        </w:rPr>
        <w:t>Encourage and support staff to attend professional learning about youth leadership and participation.</w:t>
      </w:r>
    </w:p>
    <w:p w14:paraId="75672FDB" w14:textId="77777777" w:rsidR="00AA5EFE" w:rsidRPr="00AA5EFE" w:rsidRDefault="00AA5EFE" w:rsidP="00AA5EFE">
      <w:pPr>
        <w:keepNext/>
        <w:keepLines/>
        <w:spacing w:before="40" w:after="0" w:line="259" w:lineRule="auto"/>
        <w:ind w:left="720" w:right="0"/>
        <w:outlineLvl w:val="1"/>
        <w:rPr>
          <w:rFonts w:eastAsia="Calibri"/>
          <w:szCs w:val="22"/>
          <w:lang w:eastAsia="en-US"/>
        </w:rPr>
      </w:pPr>
    </w:p>
    <w:p w14:paraId="12A3E789" w14:textId="77777777" w:rsidR="00AA5EFE" w:rsidRPr="00AA5EFE" w:rsidRDefault="00AA5EFE" w:rsidP="00AA5EFE">
      <w:pPr>
        <w:pStyle w:val="Heading2"/>
        <w:rPr>
          <w:rFonts w:eastAsia="Calibri"/>
          <w:lang w:eastAsia="en-US"/>
        </w:rPr>
      </w:pPr>
      <w:r w:rsidRPr="00AA5EFE">
        <w:rPr>
          <w:rFonts w:eastAsia="Calibri"/>
          <w:lang w:eastAsia="en-US"/>
        </w:rPr>
        <w:t>Curriculum</w:t>
      </w:r>
    </w:p>
    <w:p w14:paraId="34F639BA" w14:textId="77777777" w:rsidR="00AA5EFE" w:rsidRPr="00AA5EFE" w:rsidRDefault="00AA5EFE" w:rsidP="00AA5EFE">
      <w:pPr>
        <w:keepNext/>
        <w:keepLines/>
        <w:numPr>
          <w:ilvl w:val="0"/>
          <w:numId w:val="13"/>
        </w:numPr>
        <w:spacing w:before="40" w:after="0" w:line="259" w:lineRule="auto"/>
        <w:ind w:right="0"/>
        <w:outlineLvl w:val="1"/>
        <w:rPr>
          <w:rFonts w:eastAsia="Calibri"/>
          <w:szCs w:val="22"/>
          <w:lang w:eastAsia="en-US"/>
        </w:rPr>
      </w:pPr>
      <w:r w:rsidRPr="00AA5EFE">
        <w:rPr>
          <w:rFonts w:eastAsia="Calibri"/>
          <w:szCs w:val="22"/>
          <w:lang w:eastAsia="en-US"/>
        </w:rPr>
        <w:t>Regularly involve students in some decision making about their health and wellbeing learning priorities and this information is used in health and wellbeing planning</w:t>
      </w:r>
    </w:p>
    <w:p w14:paraId="65116EEF" w14:textId="77777777" w:rsidR="00AA5EFE" w:rsidRDefault="00AA5EFE" w:rsidP="00AA5EFE">
      <w:pPr>
        <w:keepNext/>
        <w:keepLines/>
        <w:numPr>
          <w:ilvl w:val="0"/>
          <w:numId w:val="13"/>
        </w:numPr>
        <w:spacing w:before="40" w:after="0" w:line="259" w:lineRule="auto"/>
        <w:ind w:right="0"/>
        <w:outlineLvl w:val="1"/>
        <w:rPr>
          <w:rFonts w:eastAsia="Calibri"/>
          <w:szCs w:val="22"/>
          <w:lang w:eastAsia="en-US"/>
        </w:rPr>
      </w:pPr>
      <w:r w:rsidRPr="00AA5EFE">
        <w:rPr>
          <w:rFonts w:eastAsia="Calibri"/>
          <w:szCs w:val="22"/>
          <w:lang w:eastAsia="en-US"/>
        </w:rPr>
        <w:t>Enable students to practice and develop leadership skills.</w:t>
      </w:r>
    </w:p>
    <w:p w14:paraId="68D9A2E9" w14:textId="77777777" w:rsidR="00AA5EFE" w:rsidRPr="00AA5EFE" w:rsidRDefault="00AA5EFE" w:rsidP="00AA5EFE">
      <w:pPr>
        <w:keepNext/>
        <w:keepLines/>
        <w:spacing w:before="40" w:after="0" w:line="259" w:lineRule="auto"/>
        <w:ind w:left="720" w:right="0"/>
        <w:outlineLvl w:val="1"/>
        <w:rPr>
          <w:rFonts w:eastAsia="Calibri"/>
          <w:szCs w:val="22"/>
          <w:lang w:eastAsia="en-US"/>
        </w:rPr>
      </w:pPr>
    </w:p>
    <w:p w14:paraId="004BA78E" w14:textId="77777777" w:rsidR="00AA5EFE" w:rsidRPr="00AA5EFE" w:rsidRDefault="00AA5EFE" w:rsidP="00AA5EFE">
      <w:pPr>
        <w:pStyle w:val="Heading2"/>
        <w:rPr>
          <w:rFonts w:eastAsia="Calibri"/>
          <w:lang w:eastAsia="en-US"/>
        </w:rPr>
      </w:pPr>
      <w:r w:rsidRPr="00AA5EFE">
        <w:rPr>
          <w:rFonts w:eastAsia="Calibri"/>
          <w:lang w:eastAsia="en-US"/>
        </w:rPr>
        <w:t>Partnerships with families, carers and community</w:t>
      </w:r>
    </w:p>
    <w:p w14:paraId="71679D11" w14:textId="77777777" w:rsidR="00AA5EFE" w:rsidRPr="00AA5EFE" w:rsidRDefault="00AA5EFE" w:rsidP="00AA5EFE">
      <w:pPr>
        <w:keepNext/>
        <w:keepLines/>
        <w:numPr>
          <w:ilvl w:val="0"/>
          <w:numId w:val="14"/>
        </w:numPr>
        <w:spacing w:before="40" w:after="0" w:line="259" w:lineRule="auto"/>
        <w:ind w:right="0"/>
        <w:outlineLvl w:val="1"/>
        <w:rPr>
          <w:rFonts w:eastAsia="Calibri"/>
          <w:szCs w:val="22"/>
          <w:lang w:eastAsia="en-US"/>
        </w:rPr>
      </w:pPr>
      <w:r w:rsidRPr="00AA5EFE">
        <w:rPr>
          <w:rFonts w:eastAsia="Calibri"/>
          <w:szCs w:val="22"/>
          <w:lang w:eastAsia="en-US"/>
        </w:rPr>
        <w:t>Invite families and carers to be involved in youth leadership and participation activities.</w:t>
      </w:r>
    </w:p>
    <w:p w14:paraId="2F019502" w14:textId="77777777" w:rsidR="00AA5EFE" w:rsidRPr="00AA5EFE" w:rsidRDefault="00AA5EFE" w:rsidP="00AA5EFE">
      <w:pPr>
        <w:keepNext/>
        <w:keepLines/>
        <w:numPr>
          <w:ilvl w:val="0"/>
          <w:numId w:val="14"/>
        </w:numPr>
        <w:spacing w:before="40" w:after="0" w:line="259" w:lineRule="auto"/>
        <w:ind w:right="0"/>
        <w:outlineLvl w:val="1"/>
        <w:rPr>
          <w:rFonts w:eastAsia="Calibri"/>
          <w:szCs w:val="22"/>
          <w:lang w:eastAsia="en-US"/>
        </w:rPr>
      </w:pPr>
      <w:r w:rsidRPr="00AA5EFE">
        <w:rPr>
          <w:rFonts w:eastAsia="Calibri"/>
          <w:szCs w:val="22"/>
          <w:lang w:eastAsia="en-US"/>
        </w:rPr>
        <w:t>Consider involving community members or parents to work alongside the student leaders.</w:t>
      </w:r>
    </w:p>
    <w:p w14:paraId="6ABE2AF1" w14:textId="77777777" w:rsidR="00AA5EFE" w:rsidRPr="00AA5EFE" w:rsidRDefault="00AA5EFE" w:rsidP="00AA5EFE">
      <w:pPr>
        <w:keepNext/>
        <w:keepLines/>
        <w:numPr>
          <w:ilvl w:val="0"/>
          <w:numId w:val="14"/>
        </w:numPr>
        <w:spacing w:before="40" w:after="0" w:line="259" w:lineRule="auto"/>
        <w:ind w:right="0"/>
        <w:outlineLvl w:val="1"/>
        <w:rPr>
          <w:rFonts w:eastAsia="Calibri"/>
          <w:szCs w:val="22"/>
          <w:lang w:eastAsia="en-US"/>
        </w:rPr>
      </w:pPr>
      <w:r w:rsidRPr="00AA5EFE">
        <w:rPr>
          <w:rFonts w:eastAsia="Calibri"/>
          <w:szCs w:val="22"/>
          <w:lang w:eastAsia="en-US"/>
        </w:rPr>
        <w:t>Promote student attendance at events and forums run by outside organisations to build leaderships skills and participation opportunities for students.</w:t>
      </w:r>
    </w:p>
    <w:p w14:paraId="1C8248C1" w14:textId="77777777" w:rsidR="00AA5EFE" w:rsidRPr="00AA5EFE" w:rsidRDefault="00AA5EFE" w:rsidP="00AA5EFE">
      <w:pPr>
        <w:spacing w:after="160" w:line="259" w:lineRule="auto"/>
        <w:ind w:right="0"/>
        <w:rPr>
          <w:rFonts w:eastAsia="Calibri"/>
          <w:szCs w:val="22"/>
          <w:lang w:eastAsia="en-US"/>
        </w:rPr>
      </w:pPr>
    </w:p>
    <w:p w14:paraId="4D2DC87D" w14:textId="77777777" w:rsidR="00AA5EFE" w:rsidRPr="00AA5EFE" w:rsidRDefault="00AA5EFE" w:rsidP="00AA5EFE">
      <w:pPr>
        <w:spacing w:after="160" w:line="259" w:lineRule="auto"/>
        <w:ind w:right="0"/>
        <w:rPr>
          <w:rFonts w:eastAsia="Calibri"/>
          <w:szCs w:val="22"/>
          <w:lang w:eastAsia="en-US"/>
        </w:rPr>
      </w:pPr>
      <w:bookmarkStart w:id="1" w:name="_Hlk13486135"/>
      <w:r w:rsidRPr="00AA5EFE">
        <w:rPr>
          <w:rFonts w:eastAsia="Calibri"/>
          <w:szCs w:val="22"/>
          <w:lang w:eastAsia="en-US"/>
        </w:rPr>
        <w:t xml:space="preserve">For more information see the Youth Network of Tasmania’s  </w:t>
      </w:r>
      <w:hyperlink r:id="rId15" w:history="1">
        <w:r w:rsidRPr="00AA5EFE">
          <w:rPr>
            <w:rFonts w:eastAsia="Calibri"/>
            <w:color w:val="0563C1"/>
            <w:szCs w:val="22"/>
            <w:u w:val="single"/>
            <w:lang w:eastAsia="en-US"/>
          </w:rPr>
          <w:t>Youth Participation and Leadership Organisation Resource</w:t>
        </w:r>
      </w:hyperlink>
      <w:r w:rsidR="003421F5">
        <w:rPr>
          <w:rStyle w:val="FootnoteReference"/>
          <w:rFonts w:eastAsia="Calibri"/>
          <w:color w:val="0563C1"/>
          <w:szCs w:val="22"/>
          <w:u w:val="single"/>
          <w:lang w:eastAsia="en-US"/>
        </w:rPr>
        <w:footnoteReference w:id="4"/>
      </w:r>
      <w:r w:rsidRPr="00AA5EFE">
        <w:rPr>
          <w:rFonts w:eastAsia="Calibri"/>
          <w:szCs w:val="22"/>
          <w:lang w:eastAsia="en-US"/>
        </w:rPr>
        <w:t xml:space="preserve"> and </w:t>
      </w:r>
      <w:hyperlink r:id="rId16" w:history="1">
        <w:r w:rsidRPr="00AA5EFE">
          <w:rPr>
            <w:rFonts w:eastAsia="Calibri"/>
            <w:color w:val="0563C1"/>
            <w:szCs w:val="22"/>
            <w:u w:val="single"/>
            <w:lang w:eastAsia="en-US"/>
          </w:rPr>
          <w:t>SYC's guide to consulting with young people</w:t>
        </w:r>
      </w:hyperlink>
      <w:r w:rsidR="003421F5">
        <w:rPr>
          <w:rStyle w:val="FootnoteReference"/>
          <w:rFonts w:eastAsia="Calibri"/>
          <w:color w:val="0563C1"/>
          <w:szCs w:val="22"/>
          <w:u w:val="single"/>
          <w:lang w:eastAsia="en-US"/>
        </w:rPr>
        <w:footnoteReference w:id="5"/>
      </w:r>
      <w:bookmarkEnd w:id="1"/>
    </w:p>
    <w:p w14:paraId="70713BF9" w14:textId="77777777" w:rsidR="00AA5EFE" w:rsidRDefault="00AA5EFE" w:rsidP="000845B3">
      <w:pPr>
        <w:ind w:right="0"/>
      </w:pPr>
    </w:p>
    <w:p w14:paraId="4316B41F" w14:textId="77777777" w:rsidR="00E33CD4" w:rsidRDefault="00E33CD4"/>
    <w:sectPr w:rsidR="00E33CD4" w:rsidSect="00F16F40">
      <w:headerReference w:type="even" r:id="rId17"/>
      <w:headerReference w:type="default" r:id="rId18"/>
      <w:footerReference w:type="even" r:id="rId19"/>
      <w:headerReference w:type="first" r:id="rId20"/>
      <w:footerReference w:type="first" r:id="rId21"/>
      <w:type w:val="evenPage"/>
      <w:pgSz w:w="11906" w:h="16838" w:code="9"/>
      <w:pgMar w:top="1352" w:right="1440" w:bottom="1440" w:left="1440" w:header="0"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5984A" w14:textId="77777777" w:rsidR="000845B3" w:rsidRDefault="000845B3" w:rsidP="0023111E">
      <w:pPr>
        <w:spacing w:after="0" w:line="240" w:lineRule="auto"/>
      </w:pPr>
      <w:r>
        <w:separator/>
      </w:r>
    </w:p>
  </w:endnote>
  <w:endnote w:type="continuationSeparator" w:id="0">
    <w:p w14:paraId="3C9F9349" w14:textId="77777777" w:rsidR="000845B3" w:rsidRDefault="000845B3" w:rsidP="0023111E">
      <w:pPr>
        <w:spacing w:after="0" w:line="240" w:lineRule="auto"/>
      </w:pPr>
      <w:r>
        <w:continuationSeparator/>
      </w:r>
    </w:p>
  </w:endnote>
  <w:endnote w:id="1">
    <w:p w14:paraId="35C5C5D4" w14:textId="77777777" w:rsidR="00AA5EFE" w:rsidRDefault="00AA5EFE" w:rsidP="00AA5EFE">
      <w:pPr>
        <w:pStyle w:val="EndnoteText"/>
      </w:pPr>
      <w:r>
        <w:rPr>
          <w:rStyle w:val="EndnoteReference"/>
        </w:rPr>
        <w:endnoteRef/>
      </w:r>
      <w:r>
        <w:t xml:space="preserve"> Simmons, A, Bell, A.C., Swinburn, B. (2009) It’s Your Move! Implementation report 1 and 3 project Design and capacity Building, WHO Collaborating Centre for Obesity Prevention and Related Research and Training, Deakin University, Geelong.</w:t>
      </w:r>
    </w:p>
  </w:endnote>
  <w:endnote w:id="2">
    <w:p w14:paraId="7F4330FA" w14:textId="77777777" w:rsidR="00AA5EFE" w:rsidRDefault="00AA5EFE" w:rsidP="00AA5EFE">
      <w:pPr>
        <w:pStyle w:val="EndnoteText"/>
      </w:pPr>
      <w:r>
        <w:rPr>
          <w:rStyle w:val="EndnoteReference"/>
        </w:rPr>
        <w:endnoteRef/>
      </w:r>
      <w:r>
        <w:t xml:space="preserve"> McCall, D. Shannon, M. (1999) Youth Led Health promotion, Youth engagement and Youth participation: A research Review. Tobacco Control Unit, Canada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charset w:val="00"/>
    <w:family w:val="auto"/>
    <w:pitch w:val="variable"/>
    <w:sig w:usb0="800002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078471"/>
      <w:docPartObj>
        <w:docPartGallery w:val="Page Numbers (Bottom of Page)"/>
        <w:docPartUnique/>
      </w:docPartObj>
    </w:sdtPr>
    <w:sdtEndPr/>
    <w:sdtContent>
      <w:sdt>
        <w:sdtPr>
          <w:id w:val="1210841582"/>
          <w:docPartObj>
            <w:docPartGallery w:val="Page Numbers (Top of Page)"/>
            <w:docPartUnique/>
          </w:docPartObj>
        </w:sdtPr>
        <w:sdtEndPr/>
        <w:sdtContent>
          <w:p w14:paraId="1A1637E1" w14:textId="77777777" w:rsidR="000845B3" w:rsidRDefault="000845B3" w:rsidP="00017BB4">
            <w:pPr>
              <w:pStyle w:val="Footer"/>
              <w:jc w:val="right"/>
            </w:pPr>
            <w:r w:rsidRPr="00017BB4">
              <w:rPr>
                <w:sz w:val="20"/>
                <w:szCs w:val="20"/>
              </w:rPr>
              <w:t xml:space="preserve">Page </w:t>
            </w:r>
            <w:r w:rsidRPr="00017BB4">
              <w:rPr>
                <w:bCs/>
                <w:sz w:val="20"/>
                <w:szCs w:val="20"/>
              </w:rPr>
              <w:fldChar w:fldCharType="begin"/>
            </w:r>
            <w:r w:rsidRPr="00017BB4">
              <w:rPr>
                <w:bCs/>
                <w:sz w:val="20"/>
                <w:szCs w:val="20"/>
              </w:rPr>
              <w:instrText xml:space="preserve"> PAGE </w:instrText>
            </w:r>
            <w:r w:rsidRPr="00017BB4">
              <w:rPr>
                <w:bCs/>
                <w:sz w:val="20"/>
                <w:szCs w:val="20"/>
              </w:rPr>
              <w:fldChar w:fldCharType="separate"/>
            </w:r>
            <w:r>
              <w:rPr>
                <w:bCs/>
                <w:sz w:val="20"/>
                <w:szCs w:val="20"/>
              </w:rPr>
              <w:t>2</w:t>
            </w:r>
            <w:r w:rsidRPr="00017BB4">
              <w:rPr>
                <w:bCs/>
                <w:sz w:val="20"/>
                <w:szCs w:val="20"/>
              </w:rPr>
              <w:fldChar w:fldCharType="end"/>
            </w:r>
            <w:r w:rsidRPr="00017BB4">
              <w:rPr>
                <w:sz w:val="20"/>
                <w:szCs w:val="20"/>
              </w:rPr>
              <w:t xml:space="preserve"> of </w:t>
            </w:r>
            <w:r w:rsidRPr="00017BB4">
              <w:rPr>
                <w:bCs/>
                <w:sz w:val="20"/>
                <w:szCs w:val="20"/>
              </w:rPr>
              <w:fldChar w:fldCharType="begin"/>
            </w:r>
            <w:r w:rsidRPr="00017BB4">
              <w:rPr>
                <w:bCs/>
                <w:sz w:val="20"/>
                <w:szCs w:val="20"/>
              </w:rPr>
              <w:instrText xml:space="preserve"> NUMPAGES  </w:instrText>
            </w:r>
            <w:r w:rsidRPr="00017BB4">
              <w:rPr>
                <w:bCs/>
                <w:sz w:val="20"/>
                <w:szCs w:val="20"/>
              </w:rPr>
              <w:fldChar w:fldCharType="separate"/>
            </w:r>
            <w:r>
              <w:rPr>
                <w:bCs/>
                <w:sz w:val="20"/>
                <w:szCs w:val="20"/>
              </w:rPr>
              <w:t>4</w:t>
            </w:r>
            <w:r w:rsidRPr="00017BB4">
              <w:rPr>
                <w:bCs/>
                <w:sz w:val="20"/>
                <w:szCs w:val="20"/>
              </w:rPr>
              <w:fldChar w:fldCharType="end"/>
            </w:r>
          </w:p>
        </w:sdtContent>
      </w:sdt>
    </w:sdtContent>
  </w:sdt>
  <w:p w14:paraId="616A7174" w14:textId="77777777" w:rsidR="000845B3" w:rsidRDefault="000845B3" w:rsidP="00F16F40">
    <w:pPr>
      <w:pStyle w:val="Footer"/>
      <w:tabs>
        <w:tab w:val="clear" w:pos="451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013F3" w14:textId="77777777" w:rsidR="000845B3" w:rsidRDefault="000845B3" w:rsidP="00922FF7">
    <w:pPr>
      <w:pStyle w:val="Footer"/>
      <w:ind w:left="-1276"/>
    </w:pPr>
    <w:r>
      <w:rPr>
        <w:noProof/>
      </w:rPr>
      <w:drawing>
        <wp:inline distT="0" distB="0" distL="0" distR="0" wp14:anchorId="770F39C5" wp14:editId="1E282677">
          <wp:extent cx="7524000" cy="1380429"/>
          <wp:effectExtent l="0" t="0" r="1270" b="0"/>
          <wp:docPr id="13" name="Picture 13" descr="Department of Health Footer with 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H Tas Gov Footer.jpg"/>
                  <pic:cNvPicPr/>
                </pic:nvPicPr>
                <pic:blipFill>
                  <a:blip r:embed="rId1">
                    <a:extLst>
                      <a:ext uri="{28A0092B-C50C-407E-A947-70E740481C1C}">
                        <a14:useLocalDpi xmlns:a14="http://schemas.microsoft.com/office/drawing/2010/main" val="0"/>
                      </a:ext>
                    </a:extLst>
                  </a:blip>
                  <a:stretch>
                    <a:fillRect/>
                  </a:stretch>
                </pic:blipFill>
                <pic:spPr>
                  <a:xfrm>
                    <a:off x="0" y="0"/>
                    <a:ext cx="7524000" cy="138042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250393"/>
      <w:docPartObj>
        <w:docPartGallery w:val="Page Numbers (Bottom of Page)"/>
        <w:docPartUnique/>
      </w:docPartObj>
    </w:sdtPr>
    <w:sdtEndPr/>
    <w:sdtContent>
      <w:sdt>
        <w:sdtPr>
          <w:id w:val="-1769616900"/>
          <w:docPartObj>
            <w:docPartGallery w:val="Page Numbers (Top of Page)"/>
            <w:docPartUnique/>
          </w:docPartObj>
        </w:sdtPr>
        <w:sdtEndPr/>
        <w:sdtContent>
          <w:p w14:paraId="4A0B9351" w14:textId="77777777" w:rsidR="000845B3" w:rsidRDefault="000845B3">
            <w:pPr>
              <w:pStyle w:val="Footer"/>
              <w:jc w:val="right"/>
            </w:pPr>
            <w:r w:rsidRPr="00017BB4">
              <w:rPr>
                <w:sz w:val="20"/>
                <w:szCs w:val="20"/>
              </w:rPr>
              <w:t xml:space="preserve">Page </w:t>
            </w:r>
            <w:r w:rsidRPr="00017BB4">
              <w:rPr>
                <w:bCs/>
                <w:sz w:val="20"/>
                <w:szCs w:val="20"/>
              </w:rPr>
              <w:fldChar w:fldCharType="begin"/>
            </w:r>
            <w:r w:rsidRPr="00017BB4">
              <w:rPr>
                <w:bCs/>
                <w:sz w:val="20"/>
                <w:szCs w:val="20"/>
              </w:rPr>
              <w:instrText xml:space="preserve"> PAGE </w:instrText>
            </w:r>
            <w:r w:rsidRPr="00017BB4">
              <w:rPr>
                <w:bCs/>
                <w:sz w:val="20"/>
                <w:szCs w:val="20"/>
              </w:rPr>
              <w:fldChar w:fldCharType="separate"/>
            </w:r>
            <w:r w:rsidRPr="00017BB4">
              <w:rPr>
                <w:bCs/>
                <w:noProof/>
                <w:sz w:val="20"/>
                <w:szCs w:val="20"/>
              </w:rPr>
              <w:t>2</w:t>
            </w:r>
            <w:r w:rsidRPr="00017BB4">
              <w:rPr>
                <w:bCs/>
                <w:sz w:val="20"/>
                <w:szCs w:val="20"/>
              </w:rPr>
              <w:fldChar w:fldCharType="end"/>
            </w:r>
            <w:r w:rsidRPr="00017BB4">
              <w:rPr>
                <w:sz w:val="20"/>
                <w:szCs w:val="20"/>
              </w:rPr>
              <w:t xml:space="preserve"> of </w:t>
            </w:r>
            <w:r w:rsidRPr="00017BB4">
              <w:rPr>
                <w:bCs/>
                <w:sz w:val="20"/>
                <w:szCs w:val="20"/>
              </w:rPr>
              <w:fldChar w:fldCharType="begin"/>
            </w:r>
            <w:r w:rsidRPr="00017BB4">
              <w:rPr>
                <w:bCs/>
                <w:sz w:val="20"/>
                <w:szCs w:val="20"/>
              </w:rPr>
              <w:instrText xml:space="preserve"> NUMPAGES  </w:instrText>
            </w:r>
            <w:r w:rsidRPr="00017BB4">
              <w:rPr>
                <w:bCs/>
                <w:sz w:val="20"/>
                <w:szCs w:val="20"/>
              </w:rPr>
              <w:fldChar w:fldCharType="separate"/>
            </w:r>
            <w:r w:rsidRPr="00017BB4">
              <w:rPr>
                <w:bCs/>
                <w:noProof/>
                <w:sz w:val="20"/>
                <w:szCs w:val="20"/>
              </w:rPr>
              <w:t>2</w:t>
            </w:r>
            <w:r w:rsidRPr="00017BB4">
              <w:rPr>
                <w:bCs/>
                <w:sz w:val="20"/>
                <w:szCs w:val="20"/>
              </w:rPr>
              <w:fldChar w:fldCharType="end"/>
            </w:r>
          </w:p>
        </w:sdtContent>
      </w:sdt>
    </w:sdtContent>
  </w:sdt>
  <w:p w14:paraId="391F63E4" w14:textId="77777777" w:rsidR="000845B3" w:rsidRDefault="000845B3" w:rsidP="00017BB4">
    <w:pPr>
      <w:pStyle w:val="Footer"/>
      <w:ind w:right="-33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92751793"/>
      <w:docPartObj>
        <w:docPartGallery w:val="Page Numbers (Top of Page)"/>
        <w:docPartUnique/>
      </w:docPartObj>
    </w:sdtPr>
    <w:sdtEndPr>
      <w:rPr>
        <w:sz w:val="22"/>
        <w:szCs w:val="24"/>
      </w:rPr>
    </w:sdtEndPr>
    <w:sdtContent>
      <w:p w14:paraId="4DA8515E" w14:textId="77777777" w:rsidR="000845B3" w:rsidRDefault="000845B3" w:rsidP="00F16F40">
        <w:pPr>
          <w:pStyle w:val="Footer"/>
          <w:ind w:right="-472"/>
          <w:jc w:val="right"/>
        </w:pPr>
        <w:r w:rsidRPr="00F16F40">
          <w:rPr>
            <w:sz w:val="20"/>
            <w:szCs w:val="20"/>
          </w:rPr>
          <w:t xml:space="preserve">Page </w:t>
        </w:r>
        <w:r w:rsidRPr="00F16F40">
          <w:rPr>
            <w:bCs/>
            <w:sz w:val="20"/>
            <w:szCs w:val="20"/>
          </w:rPr>
          <w:fldChar w:fldCharType="begin"/>
        </w:r>
        <w:r w:rsidRPr="00F16F40">
          <w:rPr>
            <w:bCs/>
            <w:sz w:val="20"/>
            <w:szCs w:val="20"/>
          </w:rPr>
          <w:instrText xml:space="preserve"> PAGE </w:instrText>
        </w:r>
        <w:r w:rsidRPr="00F16F40">
          <w:rPr>
            <w:bCs/>
            <w:sz w:val="20"/>
            <w:szCs w:val="20"/>
          </w:rPr>
          <w:fldChar w:fldCharType="separate"/>
        </w:r>
        <w:r>
          <w:rPr>
            <w:bCs/>
            <w:sz w:val="20"/>
            <w:szCs w:val="20"/>
          </w:rPr>
          <w:t>2</w:t>
        </w:r>
        <w:r w:rsidRPr="00F16F40">
          <w:rPr>
            <w:bCs/>
            <w:sz w:val="20"/>
            <w:szCs w:val="20"/>
          </w:rPr>
          <w:fldChar w:fldCharType="end"/>
        </w:r>
        <w:r w:rsidRPr="00F16F40">
          <w:rPr>
            <w:sz w:val="20"/>
            <w:szCs w:val="20"/>
          </w:rPr>
          <w:t xml:space="preserve"> of </w:t>
        </w:r>
        <w:r w:rsidRPr="00F16F40">
          <w:rPr>
            <w:bCs/>
            <w:sz w:val="20"/>
            <w:szCs w:val="20"/>
          </w:rPr>
          <w:fldChar w:fldCharType="begin"/>
        </w:r>
        <w:r w:rsidRPr="00F16F40">
          <w:rPr>
            <w:bCs/>
            <w:sz w:val="20"/>
            <w:szCs w:val="20"/>
          </w:rPr>
          <w:instrText xml:space="preserve"> NUMPAGES  </w:instrText>
        </w:r>
        <w:r w:rsidRPr="00F16F40">
          <w:rPr>
            <w:bCs/>
            <w:sz w:val="20"/>
            <w:szCs w:val="20"/>
          </w:rPr>
          <w:fldChar w:fldCharType="separate"/>
        </w:r>
        <w:r>
          <w:rPr>
            <w:bCs/>
            <w:sz w:val="20"/>
            <w:szCs w:val="20"/>
          </w:rPr>
          <w:t>4</w:t>
        </w:r>
        <w:r w:rsidRPr="00F16F40">
          <w:rPr>
            <w:bCs/>
            <w:sz w:val="20"/>
            <w:szCs w:val="20"/>
          </w:rPr>
          <w:fldChar w:fldCharType="end"/>
        </w:r>
      </w:p>
    </w:sdtContent>
  </w:sdt>
  <w:p w14:paraId="4D46696D" w14:textId="77777777" w:rsidR="000845B3" w:rsidRDefault="000845B3" w:rsidP="00F16F40">
    <w:pPr>
      <w:pStyle w:val="Footer"/>
      <w:ind w:left="-141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E55C5" w14:textId="77777777" w:rsidR="000845B3" w:rsidRDefault="000845B3" w:rsidP="0023111E">
      <w:pPr>
        <w:spacing w:after="0" w:line="240" w:lineRule="auto"/>
      </w:pPr>
      <w:r>
        <w:separator/>
      </w:r>
    </w:p>
  </w:footnote>
  <w:footnote w:type="continuationSeparator" w:id="0">
    <w:p w14:paraId="233593AF" w14:textId="77777777" w:rsidR="000845B3" w:rsidRDefault="000845B3" w:rsidP="0023111E">
      <w:pPr>
        <w:spacing w:after="0" w:line="240" w:lineRule="auto"/>
      </w:pPr>
      <w:r>
        <w:continuationSeparator/>
      </w:r>
    </w:p>
  </w:footnote>
  <w:footnote w:id="1">
    <w:p w14:paraId="3747BC68" w14:textId="77777777" w:rsidR="003421F5" w:rsidRDefault="003421F5">
      <w:pPr>
        <w:pStyle w:val="FootnoteText"/>
      </w:pPr>
      <w:r>
        <w:rPr>
          <w:rStyle w:val="FootnoteReference"/>
        </w:rPr>
        <w:footnoteRef/>
      </w:r>
      <w:r>
        <w:t xml:space="preserve"> </w:t>
      </w:r>
      <w:r w:rsidRPr="003421F5">
        <w:t>https://www.communities.tas.gov.au/__data/assets/pdf_file/0022/37354/180933-DoC-Youth-Matter-FInal-WCAG_-002.pdf</w:t>
      </w:r>
    </w:p>
  </w:footnote>
  <w:footnote w:id="2">
    <w:p w14:paraId="5613AF1B" w14:textId="77777777" w:rsidR="003421F5" w:rsidRDefault="003421F5">
      <w:pPr>
        <w:pStyle w:val="FootnoteText"/>
      </w:pPr>
      <w:r>
        <w:rPr>
          <w:rStyle w:val="FootnoteReference"/>
        </w:rPr>
        <w:footnoteRef/>
      </w:r>
      <w:r>
        <w:t xml:space="preserve"> </w:t>
      </w:r>
      <w:r w:rsidRPr="003421F5">
        <w:t>https://www.strongfamiliessafekids.tas.gov.au/__data/assets/pdf_file/0023/5549/1-Tasmanian-Child-and-Youth-Wellbeing-Framework-Web.pdf</w:t>
      </w:r>
    </w:p>
  </w:footnote>
  <w:footnote w:id="3">
    <w:p w14:paraId="4C318A08" w14:textId="77777777" w:rsidR="003421F5" w:rsidRDefault="003421F5">
      <w:pPr>
        <w:pStyle w:val="FootnoteText"/>
      </w:pPr>
      <w:r>
        <w:rPr>
          <w:rStyle w:val="FootnoteReference"/>
        </w:rPr>
        <w:footnoteRef/>
      </w:r>
      <w:r>
        <w:t xml:space="preserve"> </w:t>
      </w:r>
      <w:r w:rsidRPr="003421F5">
        <w:t>documentcentre.education.tas.gov.au/Documents/Child%20and%20Student%20Wellbeing%20Strategy.pdf</w:t>
      </w:r>
    </w:p>
  </w:footnote>
  <w:footnote w:id="4">
    <w:p w14:paraId="23892BFA" w14:textId="77777777" w:rsidR="003421F5" w:rsidRDefault="003421F5">
      <w:pPr>
        <w:pStyle w:val="FootnoteText"/>
      </w:pPr>
      <w:r>
        <w:rPr>
          <w:rStyle w:val="FootnoteReference"/>
        </w:rPr>
        <w:footnoteRef/>
      </w:r>
      <w:r>
        <w:t xml:space="preserve"> </w:t>
      </w:r>
      <w:r w:rsidRPr="003421F5">
        <w:t>www.ynot.org.au/sites/default/files/ynot/Final%20-%20Youth%20Leadership%20-%20Organisation%20Resource.pdf</w:t>
      </w:r>
    </w:p>
  </w:footnote>
  <w:footnote w:id="5">
    <w:p w14:paraId="6068CBD8" w14:textId="77777777" w:rsidR="003421F5" w:rsidRDefault="003421F5">
      <w:pPr>
        <w:pStyle w:val="FootnoteText"/>
      </w:pPr>
      <w:r>
        <w:rPr>
          <w:rStyle w:val="FootnoteReference"/>
        </w:rPr>
        <w:footnoteRef/>
      </w:r>
      <w:r>
        <w:t xml:space="preserve"> </w:t>
      </w:r>
      <w:r w:rsidRPr="003421F5">
        <w:t>www.ynot.org.au/sites/default/files/ynot/FINAL%20SYC%20Top%20Ten%20Tips%20Pamphlet.pdf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58A3D" w14:textId="77777777" w:rsidR="000845B3" w:rsidRDefault="000845B3" w:rsidP="00B349EC">
    <w:pPr>
      <w:pStyle w:val="Header"/>
      <w:ind w:left="-147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95CDE" w14:textId="77777777" w:rsidR="000845B3" w:rsidRDefault="000845B3" w:rsidP="00B349EC">
    <w:pPr>
      <w:pStyle w:val="Header"/>
      <w:ind w:right="-144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074A8" w14:textId="77777777" w:rsidR="000845B3" w:rsidRDefault="000845B3" w:rsidP="0023111E">
    <w:pPr>
      <w:pStyle w:val="Header"/>
      <w:ind w:left="-1474"/>
    </w:pPr>
    <w:r>
      <w:rPr>
        <w:noProof/>
      </w:rPr>
      <w:drawing>
        <wp:inline distT="0" distB="0" distL="0" distR="0" wp14:anchorId="7535B633" wp14:editId="289BAB81">
          <wp:extent cx="7691755" cy="2019300"/>
          <wp:effectExtent l="0" t="0" r="4445" b="0"/>
          <wp:docPr id="12" name="Picture 12" descr="Healthy Young Peopl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P Fact Sheet for Word-9.png"/>
                  <pic:cNvPicPr/>
                </pic:nvPicPr>
                <pic:blipFill rotWithShape="1">
                  <a:blip r:embed="rId1">
                    <a:extLst>
                      <a:ext uri="{28A0092B-C50C-407E-A947-70E740481C1C}">
                        <a14:useLocalDpi xmlns:a14="http://schemas.microsoft.com/office/drawing/2010/main" val="0"/>
                      </a:ext>
                    </a:extLst>
                  </a:blip>
                  <a:srcRect b="19757"/>
                  <a:stretch/>
                </pic:blipFill>
                <pic:spPr bwMode="auto">
                  <a:xfrm>
                    <a:off x="0" y="0"/>
                    <a:ext cx="7693200" cy="201967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F4AC9" w14:textId="77777777" w:rsidR="000845B3" w:rsidRDefault="000845B3" w:rsidP="00B349EC">
    <w:pPr>
      <w:pStyle w:val="Header"/>
      <w:ind w:left="-1474"/>
    </w:pPr>
    <w:r>
      <w:rPr>
        <w:noProof/>
      </w:rPr>
      <w:drawing>
        <wp:inline distT="0" distB="0" distL="0" distR="0" wp14:anchorId="05586C4A" wp14:editId="2C3F0A2E">
          <wp:extent cx="1078994" cy="1078994"/>
          <wp:effectExtent l="0" t="0" r="0" b="0"/>
          <wp:docPr id="299" name="Picture 2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HYP Fact Sheet Page No Footers-1 left.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1078994" cy="1078994"/>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11AB0" w14:textId="77777777" w:rsidR="000845B3" w:rsidRDefault="000845B3" w:rsidP="00F16F40">
    <w:pPr>
      <w:pStyle w:val="Header"/>
      <w:ind w:left="-1418" w:right="-1440"/>
      <w:jc w:val="right"/>
    </w:pPr>
    <w:r>
      <w:rPr>
        <w:noProof/>
      </w:rPr>
      <w:drawing>
        <wp:inline distT="0" distB="0" distL="0" distR="0" wp14:anchorId="09766280" wp14:editId="1DAD8F89">
          <wp:extent cx="1078994" cy="1078994"/>
          <wp:effectExtent l="0" t="0" r="6985" b="0"/>
          <wp:docPr id="300" name="Picture 3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HYP Fact Sheet Page No Footers-2 right.png"/>
                  <pic:cNvPicPr/>
                </pic:nvPicPr>
                <pic:blipFill>
                  <a:blip r:embed="rId1">
                    <a:extLst>
                      <a:ext uri="{28A0092B-C50C-407E-A947-70E740481C1C}">
                        <a14:useLocalDpi xmlns:a14="http://schemas.microsoft.com/office/drawing/2010/main" val="0"/>
                      </a:ext>
                    </a:extLst>
                  </a:blip>
                  <a:stretch>
                    <a:fillRect/>
                  </a:stretch>
                </pic:blipFill>
                <pic:spPr>
                  <a:xfrm rot="16200000">
                    <a:off x="0" y="0"/>
                    <a:ext cx="1078994" cy="1078994"/>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C68CF" w14:textId="77777777" w:rsidR="000845B3" w:rsidRDefault="000845B3" w:rsidP="009F06F0">
    <w:pPr>
      <w:pStyle w:val="Header"/>
      <w:ind w:left="-1474" w:right="-1440"/>
      <w:jc w:val="right"/>
    </w:pPr>
    <w:r>
      <w:rPr>
        <w:noProof/>
      </w:rPr>
      <w:drawing>
        <wp:inline distT="0" distB="0" distL="0" distR="0" wp14:anchorId="266835BD" wp14:editId="06E26BA1">
          <wp:extent cx="1080000" cy="1080000"/>
          <wp:effectExtent l="0" t="0" r="6350" b="0"/>
          <wp:docPr id="301" name="Picture 3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YP Fact Sheet Page No Footers-2 right.png"/>
                  <pic:cNvPicPr/>
                </pic:nvPicPr>
                <pic:blipFill>
                  <a:blip r:embed="rId1">
                    <a:extLst>
                      <a:ext uri="{28A0092B-C50C-407E-A947-70E740481C1C}">
                        <a14:useLocalDpi xmlns:a14="http://schemas.microsoft.com/office/drawing/2010/main" val="0"/>
                      </a:ext>
                    </a:extLst>
                  </a:blip>
                  <a:stretch>
                    <a:fillRect/>
                  </a:stretch>
                </pic:blipFill>
                <pic:spPr>
                  <a:xfrm flipV="1">
                    <a:off x="0" y="0"/>
                    <a:ext cx="1080000"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42E9"/>
    <w:multiLevelType w:val="hybridMultilevel"/>
    <w:tmpl w:val="290C0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5B391A"/>
    <w:multiLevelType w:val="hybridMultilevel"/>
    <w:tmpl w:val="C08EB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19465D"/>
    <w:multiLevelType w:val="hybridMultilevel"/>
    <w:tmpl w:val="2D625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7E3737"/>
    <w:multiLevelType w:val="hybridMultilevel"/>
    <w:tmpl w:val="78BEA1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884D3C"/>
    <w:multiLevelType w:val="hybridMultilevel"/>
    <w:tmpl w:val="93FA4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534051"/>
    <w:multiLevelType w:val="hybridMultilevel"/>
    <w:tmpl w:val="2D3EF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E7B83"/>
    <w:multiLevelType w:val="hybridMultilevel"/>
    <w:tmpl w:val="468A9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68377E"/>
    <w:multiLevelType w:val="hybridMultilevel"/>
    <w:tmpl w:val="465EF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942B6B"/>
    <w:multiLevelType w:val="hybridMultilevel"/>
    <w:tmpl w:val="B0F63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1A411E"/>
    <w:multiLevelType w:val="hybridMultilevel"/>
    <w:tmpl w:val="BAAE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F869B7"/>
    <w:multiLevelType w:val="hybridMultilevel"/>
    <w:tmpl w:val="3AA8A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404040"/>
    <w:multiLevelType w:val="hybridMultilevel"/>
    <w:tmpl w:val="35F0B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0D2EE7"/>
    <w:multiLevelType w:val="hybridMultilevel"/>
    <w:tmpl w:val="046E4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9551BE"/>
    <w:multiLevelType w:val="hybridMultilevel"/>
    <w:tmpl w:val="7CA0A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6"/>
  </w:num>
  <w:num w:numId="5">
    <w:abstractNumId w:val="4"/>
  </w:num>
  <w:num w:numId="6">
    <w:abstractNumId w:val="10"/>
  </w:num>
  <w:num w:numId="7">
    <w:abstractNumId w:val="1"/>
  </w:num>
  <w:num w:numId="8">
    <w:abstractNumId w:val="2"/>
  </w:num>
  <w:num w:numId="9">
    <w:abstractNumId w:val="3"/>
  </w:num>
  <w:num w:numId="10">
    <w:abstractNumId w:val="9"/>
  </w:num>
  <w:num w:numId="11">
    <w:abstractNumId w:val="12"/>
  </w:num>
  <w:num w:numId="12">
    <w:abstractNumId w:val="0"/>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3"/>
  <w:displayBackgroundShape/>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60"/>
    <w:rsid w:val="00017BB4"/>
    <w:rsid w:val="00047A24"/>
    <w:rsid w:val="000845B3"/>
    <w:rsid w:val="00103DDE"/>
    <w:rsid w:val="00164A98"/>
    <w:rsid w:val="001A015F"/>
    <w:rsid w:val="0023111E"/>
    <w:rsid w:val="00244268"/>
    <w:rsid w:val="00246152"/>
    <w:rsid w:val="00264A27"/>
    <w:rsid w:val="00271312"/>
    <w:rsid w:val="00283A3E"/>
    <w:rsid w:val="002B2D9F"/>
    <w:rsid w:val="002E4EF0"/>
    <w:rsid w:val="00300B57"/>
    <w:rsid w:val="003033C7"/>
    <w:rsid w:val="003421F5"/>
    <w:rsid w:val="005326A5"/>
    <w:rsid w:val="005D3585"/>
    <w:rsid w:val="005F4811"/>
    <w:rsid w:val="0063111D"/>
    <w:rsid w:val="0073044F"/>
    <w:rsid w:val="0074105F"/>
    <w:rsid w:val="00796807"/>
    <w:rsid w:val="008D0418"/>
    <w:rsid w:val="00922FF7"/>
    <w:rsid w:val="00941103"/>
    <w:rsid w:val="009F06F0"/>
    <w:rsid w:val="00A0626C"/>
    <w:rsid w:val="00A869CD"/>
    <w:rsid w:val="00AA5EFE"/>
    <w:rsid w:val="00AD2CCD"/>
    <w:rsid w:val="00B349EC"/>
    <w:rsid w:val="00B87BF0"/>
    <w:rsid w:val="00BC424F"/>
    <w:rsid w:val="00BF7B06"/>
    <w:rsid w:val="00C80060"/>
    <w:rsid w:val="00C8509E"/>
    <w:rsid w:val="00D15D1A"/>
    <w:rsid w:val="00D34A39"/>
    <w:rsid w:val="00D40B69"/>
    <w:rsid w:val="00D87169"/>
    <w:rsid w:val="00E33CD4"/>
    <w:rsid w:val="00ED3000"/>
    <w:rsid w:val="00F026EA"/>
    <w:rsid w:val="00F062B9"/>
    <w:rsid w:val="00F115B3"/>
    <w:rsid w:val="00F16F40"/>
    <w:rsid w:val="00F52DCC"/>
    <w:rsid w:val="00F66E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C12AB4"/>
  <w15:chartTrackingRefBased/>
  <w15:docId w15:val="{1EDF6ED5-9FCA-4ABC-AFAA-44571213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11E"/>
    <w:pPr>
      <w:spacing w:after="140" w:line="300" w:lineRule="atLeast"/>
      <w:ind w:right="-1055"/>
    </w:pPr>
    <w:rPr>
      <w:rFonts w:ascii="Gill Sans MT" w:eastAsia="Times New Roman" w:hAnsi="Gill Sans MT" w:cs="Times New Roman"/>
      <w:szCs w:val="24"/>
      <w:lang w:eastAsia="en-AU"/>
    </w:rPr>
  </w:style>
  <w:style w:type="paragraph" w:styleId="Heading1">
    <w:name w:val="heading 1"/>
    <w:basedOn w:val="Heading2"/>
    <w:next w:val="Normal"/>
    <w:link w:val="Heading1Char"/>
    <w:qFormat/>
    <w:rsid w:val="00164A98"/>
    <w:pPr>
      <w:keepNext w:val="0"/>
      <w:keepLines w:val="0"/>
      <w:spacing w:before="240" w:after="60"/>
      <w:outlineLvl w:val="0"/>
    </w:pPr>
    <w:rPr>
      <w:rFonts w:eastAsia="Times New Roman" w:cs="Arial"/>
      <w:color w:val="auto"/>
      <w:sz w:val="40"/>
      <w:szCs w:val="24"/>
      <w:lang w:val="en"/>
    </w:rPr>
  </w:style>
  <w:style w:type="paragraph" w:styleId="Heading2">
    <w:name w:val="heading 2"/>
    <w:basedOn w:val="Normal"/>
    <w:next w:val="Normal"/>
    <w:link w:val="Heading2Char"/>
    <w:uiPriority w:val="9"/>
    <w:unhideWhenUsed/>
    <w:qFormat/>
    <w:rsid w:val="00E33CD4"/>
    <w:pPr>
      <w:keepNext/>
      <w:keepLines/>
      <w:spacing w:before="40" w:after="0"/>
      <w:outlineLvl w:val="1"/>
    </w:pPr>
    <w:rPr>
      <w:rFonts w:eastAsiaTheme="majorEastAsia" w:cstheme="majorBidi"/>
      <w:b/>
      <w:color w:val="365F91" w:themeColor="accent1" w:themeShade="BF"/>
      <w:sz w:val="32"/>
      <w:szCs w:val="26"/>
    </w:rPr>
  </w:style>
  <w:style w:type="paragraph" w:styleId="Heading6">
    <w:name w:val="heading 6"/>
    <w:basedOn w:val="Title"/>
    <w:next w:val="Normal"/>
    <w:link w:val="Heading6Char"/>
    <w:unhideWhenUsed/>
    <w:qFormat/>
    <w:rsid w:val="0023111E"/>
    <w:rPr>
      <w:bCs w:val="0"/>
    </w:rPr>
  </w:style>
  <w:style w:type="paragraph" w:styleId="Heading7">
    <w:name w:val="heading 7"/>
    <w:basedOn w:val="Normal"/>
    <w:next w:val="Normal"/>
    <w:link w:val="Heading7Char"/>
    <w:unhideWhenUsed/>
    <w:qFormat/>
    <w:rsid w:val="0023111E"/>
    <w:pPr>
      <w:spacing w:after="360" w:line="360" w:lineRule="auto"/>
      <w:ind w:right="0"/>
      <w:outlineLvl w:val="6"/>
    </w:pPr>
    <w:rPr>
      <w:color w:val="09BEDD"/>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A98"/>
    <w:rPr>
      <w:rFonts w:ascii="Gill Sans MT" w:eastAsia="Times New Roman" w:hAnsi="Gill Sans MT" w:cs="Arial"/>
      <w:b/>
      <w:sz w:val="40"/>
      <w:szCs w:val="24"/>
      <w:lang w:val="en" w:eastAsia="en-AU"/>
    </w:rPr>
  </w:style>
  <w:style w:type="character" w:customStyle="1" w:styleId="Heading6Char">
    <w:name w:val="Heading 6 Char"/>
    <w:basedOn w:val="DefaultParagraphFont"/>
    <w:link w:val="Heading6"/>
    <w:rsid w:val="0023111E"/>
    <w:rPr>
      <w:rFonts w:ascii="Gill Sans MT" w:eastAsia="Times New Roman" w:hAnsi="Gill Sans MT" w:cs="Arial"/>
      <w:bCs/>
      <w:color w:val="005395"/>
      <w:kern w:val="28"/>
      <w:sz w:val="64"/>
      <w:szCs w:val="64"/>
      <w:lang w:eastAsia="en-AU"/>
    </w:rPr>
  </w:style>
  <w:style w:type="character" w:customStyle="1" w:styleId="Heading7Char">
    <w:name w:val="Heading 7 Char"/>
    <w:basedOn w:val="DefaultParagraphFont"/>
    <w:link w:val="Heading7"/>
    <w:rsid w:val="0023111E"/>
    <w:rPr>
      <w:rFonts w:ascii="Gill Sans MT" w:eastAsia="Times New Roman" w:hAnsi="Gill Sans MT" w:cs="Times New Roman"/>
      <w:color w:val="09BEDD"/>
      <w:sz w:val="44"/>
      <w:szCs w:val="44"/>
      <w:lang w:eastAsia="en-AU"/>
    </w:rPr>
  </w:style>
  <w:style w:type="paragraph" w:styleId="Subtitle">
    <w:name w:val="Subtitle"/>
    <w:basedOn w:val="Heading7"/>
    <w:link w:val="SubtitleChar"/>
    <w:qFormat/>
    <w:rsid w:val="00017BB4"/>
    <w:pPr>
      <w:spacing w:after="240" w:line="300" w:lineRule="atLeast"/>
    </w:pPr>
    <w:rPr>
      <w:b/>
      <w:color w:val="CF2F44"/>
    </w:rPr>
  </w:style>
  <w:style w:type="character" w:customStyle="1" w:styleId="SubtitleChar">
    <w:name w:val="Subtitle Char"/>
    <w:basedOn w:val="DefaultParagraphFont"/>
    <w:link w:val="Subtitle"/>
    <w:rsid w:val="00017BB4"/>
    <w:rPr>
      <w:rFonts w:ascii="Gill Sans MT" w:eastAsia="Times New Roman" w:hAnsi="Gill Sans MT" w:cs="Times New Roman"/>
      <w:b/>
      <w:color w:val="CF2F44"/>
      <w:sz w:val="44"/>
      <w:szCs w:val="44"/>
      <w:lang w:eastAsia="en-AU"/>
    </w:rPr>
  </w:style>
  <w:style w:type="character" w:customStyle="1" w:styleId="Heading2Char">
    <w:name w:val="Heading 2 Char"/>
    <w:basedOn w:val="DefaultParagraphFont"/>
    <w:link w:val="Heading2"/>
    <w:uiPriority w:val="9"/>
    <w:rsid w:val="00E33CD4"/>
    <w:rPr>
      <w:rFonts w:ascii="Gill Sans MT" w:eastAsiaTheme="majorEastAsia" w:hAnsi="Gill Sans MT" w:cstheme="majorBidi"/>
      <w:b/>
      <w:color w:val="365F91" w:themeColor="accent1" w:themeShade="BF"/>
      <w:sz w:val="32"/>
      <w:szCs w:val="26"/>
      <w:lang w:eastAsia="en-AU"/>
    </w:rPr>
  </w:style>
  <w:style w:type="paragraph" w:styleId="Title">
    <w:name w:val="Title"/>
    <w:basedOn w:val="Normal"/>
    <w:next w:val="Normal"/>
    <w:link w:val="TitleChar"/>
    <w:uiPriority w:val="10"/>
    <w:qFormat/>
    <w:rsid w:val="00E33CD4"/>
    <w:pPr>
      <w:spacing w:before="240" w:after="60" w:line="360" w:lineRule="auto"/>
      <w:ind w:right="0"/>
      <w:outlineLvl w:val="5"/>
    </w:pPr>
    <w:rPr>
      <w:rFonts w:cs="Arial"/>
      <w:bCs/>
      <w:color w:val="005395"/>
      <w:kern w:val="28"/>
      <w:sz w:val="64"/>
      <w:szCs w:val="64"/>
    </w:rPr>
  </w:style>
  <w:style w:type="character" w:customStyle="1" w:styleId="TitleChar">
    <w:name w:val="Title Char"/>
    <w:basedOn w:val="DefaultParagraphFont"/>
    <w:link w:val="Title"/>
    <w:uiPriority w:val="10"/>
    <w:rsid w:val="00E33CD4"/>
    <w:rPr>
      <w:rFonts w:ascii="Gill Sans MT" w:eastAsia="Times New Roman" w:hAnsi="Gill Sans MT" w:cs="Arial"/>
      <w:bCs/>
      <w:color w:val="005395"/>
      <w:kern w:val="28"/>
      <w:sz w:val="64"/>
      <w:szCs w:val="64"/>
      <w:lang w:eastAsia="en-AU"/>
    </w:rPr>
  </w:style>
  <w:style w:type="paragraph" w:styleId="Header">
    <w:name w:val="header"/>
    <w:basedOn w:val="Normal"/>
    <w:link w:val="HeaderChar"/>
    <w:uiPriority w:val="99"/>
    <w:unhideWhenUsed/>
    <w:rsid w:val="00231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11E"/>
    <w:rPr>
      <w:rFonts w:ascii="Gill Sans MT" w:eastAsia="Times New Roman" w:hAnsi="Gill Sans MT" w:cs="Times New Roman"/>
      <w:szCs w:val="24"/>
      <w:lang w:eastAsia="en-AU"/>
    </w:rPr>
  </w:style>
  <w:style w:type="paragraph" w:styleId="Footer">
    <w:name w:val="footer"/>
    <w:basedOn w:val="Normal"/>
    <w:link w:val="FooterChar"/>
    <w:uiPriority w:val="99"/>
    <w:unhideWhenUsed/>
    <w:rsid w:val="00231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11E"/>
    <w:rPr>
      <w:rFonts w:ascii="Gill Sans MT" w:eastAsia="Times New Roman" w:hAnsi="Gill Sans MT" w:cs="Times New Roman"/>
      <w:szCs w:val="24"/>
      <w:lang w:eastAsia="en-AU"/>
    </w:rPr>
  </w:style>
  <w:style w:type="paragraph" w:styleId="BalloonText">
    <w:name w:val="Balloon Text"/>
    <w:basedOn w:val="Normal"/>
    <w:link w:val="BalloonTextChar"/>
    <w:uiPriority w:val="99"/>
    <w:semiHidden/>
    <w:unhideWhenUsed/>
    <w:rsid w:val="00231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11E"/>
    <w:rPr>
      <w:rFonts w:ascii="Segoe UI" w:eastAsia="Times New Roman" w:hAnsi="Segoe UI" w:cs="Segoe UI"/>
      <w:sz w:val="18"/>
      <w:szCs w:val="18"/>
      <w:lang w:eastAsia="en-AU"/>
    </w:rPr>
  </w:style>
  <w:style w:type="character" w:styleId="Hyperlink">
    <w:name w:val="Hyperlink"/>
    <w:basedOn w:val="DefaultParagraphFont"/>
    <w:uiPriority w:val="99"/>
    <w:unhideWhenUsed/>
    <w:rsid w:val="00C80060"/>
    <w:rPr>
      <w:color w:val="0000FF" w:themeColor="hyperlink"/>
      <w:u w:val="single"/>
    </w:rPr>
  </w:style>
  <w:style w:type="character" w:styleId="UnresolvedMention">
    <w:name w:val="Unresolved Mention"/>
    <w:basedOn w:val="DefaultParagraphFont"/>
    <w:uiPriority w:val="99"/>
    <w:semiHidden/>
    <w:unhideWhenUsed/>
    <w:rsid w:val="00C80060"/>
    <w:rPr>
      <w:color w:val="605E5C"/>
      <w:shd w:val="clear" w:color="auto" w:fill="E1DFDD"/>
    </w:rPr>
  </w:style>
  <w:style w:type="paragraph" w:styleId="ListParagraph">
    <w:name w:val="List Paragraph"/>
    <w:basedOn w:val="Normal"/>
    <w:uiPriority w:val="34"/>
    <w:qFormat/>
    <w:rsid w:val="00C80060"/>
    <w:pPr>
      <w:spacing w:after="160" w:line="259" w:lineRule="auto"/>
      <w:ind w:left="720" w:right="0"/>
      <w:contextualSpacing/>
    </w:pPr>
    <w:rPr>
      <w:rFonts w:asciiTheme="minorHAnsi" w:eastAsiaTheme="minorHAnsi" w:hAnsiTheme="minorHAnsi" w:cstheme="minorBidi"/>
      <w:szCs w:val="22"/>
      <w:lang w:eastAsia="en-US"/>
    </w:rPr>
  </w:style>
  <w:style w:type="paragraph" w:styleId="EndnoteText">
    <w:name w:val="endnote text"/>
    <w:basedOn w:val="Normal"/>
    <w:link w:val="EndnoteTextChar"/>
    <w:uiPriority w:val="99"/>
    <w:semiHidden/>
    <w:unhideWhenUsed/>
    <w:rsid w:val="000845B3"/>
    <w:pPr>
      <w:spacing w:after="0" w:line="240" w:lineRule="auto"/>
      <w:ind w:right="0"/>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0845B3"/>
    <w:rPr>
      <w:sz w:val="20"/>
      <w:szCs w:val="20"/>
    </w:rPr>
  </w:style>
  <w:style w:type="character" w:styleId="EndnoteReference">
    <w:name w:val="endnote reference"/>
    <w:basedOn w:val="DefaultParagraphFont"/>
    <w:uiPriority w:val="99"/>
    <w:semiHidden/>
    <w:unhideWhenUsed/>
    <w:rsid w:val="000845B3"/>
    <w:rPr>
      <w:vertAlign w:val="superscript"/>
    </w:rPr>
  </w:style>
  <w:style w:type="paragraph" w:styleId="FootnoteText">
    <w:name w:val="footnote text"/>
    <w:basedOn w:val="Normal"/>
    <w:link w:val="FootnoteTextChar"/>
    <w:uiPriority w:val="99"/>
    <w:semiHidden/>
    <w:unhideWhenUsed/>
    <w:rsid w:val="003421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21F5"/>
    <w:rPr>
      <w:rFonts w:ascii="Gill Sans MT" w:eastAsia="Times New Roman" w:hAnsi="Gill Sans MT" w:cs="Times New Roman"/>
      <w:sz w:val="20"/>
      <w:szCs w:val="20"/>
      <w:lang w:eastAsia="en-AU"/>
    </w:rPr>
  </w:style>
  <w:style w:type="character" w:styleId="FootnoteReference">
    <w:name w:val="footnote reference"/>
    <w:basedOn w:val="DefaultParagraphFont"/>
    <w:uiPriority w:val="99"/>
    <w:semiHidden/>
    <w:unhideWhenUsed/>
    <w:rsid w:val="003421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trongfamiliessafekids.tas.gov.au/__data/assets/pdf_file/0023/5549/1-Tasmanian-Child-and-Youth-Wellbeing-Framework-Web.pdf"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s://www.communities.tas.gov.au/__data/assets/pdf_file/0022/37354/180933-DoC-Youth-Matter-FInal-WCAG_-002.pdf" TargetMode="Externa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ynot.org.au/sites/default/files/ynot/FINAL%20SYC%20Top%20Ten%20Tips%20Pamphlet.pdf" TargetMode="Externa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ynot.org.au/sites/default/files/ynot/Final%20-%20Youth%20Leadership%20-%20Organisation%20Resource.p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ocumentcentre.education.tas.gov.au/Documents/Child%20and%20Student%20Wellbeing%20Strategy.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4845</Characters>
  <Application>Microsoft Office Word</Application>
  <DocSecurity>2</DocSecurity>
  <Lines>40</Lines>
  <Paragraphs>11</Paragraphs>
  <ScaleCrop>false</ScaleCrop>
  <HeadingPairs>
    <vt:vector size="2" baseType="variant">
      <vt:variant>
        <vt:lpstr>Title</vt:lpstr>
      </vt:variant>
      <vt:variant>
        <vt:i4>1</vt:i4>
      </vt:variant>
    </vt:vector>
  </HeadingPairs>
  <TitlesOfParts>
    <vt:vector size="1" baseType="lpstr">
      <vt:lpstr>For Schools and Services</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Schools and Services</dc:title>
  <dc:subject>Healthy Young People</dc:subject>
  <dc:creator>cburke</dc:creator>
  <cp:keywords/>
  <dc:description/>
  <cp:lastModifiedBy>Radivojevic, Tracey L</cp:lastModifiedBy>
  <cp:revision>3</cp:revision>
  <cp:lastPrinted>2019-09-06T06:41:00Z</cp:lastPrinted>
  <dcterms:created xsi:type="dcterms:W3CDTF">2019-09-06T06:41:00Z</dcterms:created>
  <dcterms:modified xsi:type="dcterms:W3CDTF">2019-09-06T06:41:00Z</dcterms:modified>
</cp:coreProperties>
</file>